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560" w:lineRule="exact"/>
        <w:jc w:val="center"/>
        <w:rPr>
          <w:rFonts w:hint="eastAsia" w:ascii="方正小标宋简体" w:hAnsi="宋体" w:eastAsia="方正小标宋简体"/>
          <w:bCs/>
          <w:sz w:val="44"/>
          <w:szCs w:val="44"/>
        </w:rPr>
      </w:pPr>
      <w:r>
        <w:rPr>
          <w:rFonts w:asciiTheme="minorHAnsi" w:eastAsiaTheme="minorEastAsia"/>
          <w:color w:val="FF0000"/>
          <w:u w:val="thick"/>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140970</wp:posOffset>
                </wp:positionV>
                <wp:extent cx="5543550" cy="0"/>
                <wp:effectExtent l="0" t="0" r="0" b="0"/>
                <wp:wrapNone/>
                <wp:docPr id="1" name="自选图形 5"/>
                <wp:cNvGraphicFramePr/>
                <a:graphic xmlns:a="http://schemas.openxmlformats.org/drawingml/2006/main">
                  <a:graphicData uri="http://schemas.microsoft.com/office/word/2010/wordprocessingShape">
                    <wps:wsp>
                      <wps:cNvCnPr/>
                      <wps:spPr>
                        <a:xfrm>
                          <a:off x="0" y="0"/>
                          <a:ext cx="5543550" cy="0"/>
                        </a:xfrm>
                        <a:prstGeom prst="straightConnector1">
                          <a:avLst/>
                        </a:prstGeom>
                        <a:ln w="22225" cap="flat" cmpd="sng">
                          <a:no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4pt;margin-top:11.1pt;height:0pt;width:436.5pt;z-index:251662336;mso-width-relative:page;mso-height-relative:page;" filled="f" stroked="f" coordsize="21600,21600" o:gfxdata="UEsDBAoAAAAAAIdO4kAAAAAAAAAAAAAAAAAEAAAAZHJzL1BLAwQUAAAACACHTuJAxrZmj9YAAAAI&#10;AQAADwAAAGRycy9kb3ducmV2LnhtbE2PMU/DMBCFdyT+g3VILKi1YwlaQpwOSB0QAyKgzpf4SALx&#10;OYrdNP33GDHAdu/e6b3vit3iBjHTFHrPBrK1AkHceNtza+D9bb/agggR2eLgmQycKcCuvLwoMLf+&#10;xK80V7EVKYRDjga6GMdcytB05DCs/UicvA8/OYxJTq20E55SuBukVupOOuw5NXQ40mNHzVd1dAZu&#10;lupWVbg/vMxP99MhO9ebz/rZmOurTD2AiLTEv2P4wU/oUCam2h/ZBjEYWOlEHg1orUEkf7tRaah/&#10;F7Is5P8Hym9QSwMEFAAAAAgAh07iQBsnvN7IAQAAbQMAAA4AAABkcnMvZTJvRG9jLnhtbK1TS44T&#10;MRDdI3EHy3vSSaARaqUziwnDBkEk4AA1/nRb8k8uk0527BBnYMeSO8BtRhpuQdnJZBBsEKIX7vKn&#10;nuu9el5d7J1lO5XQBN/zxWzOmfIiSOOHnr97e/XoGWeYwUuwwaueHxTyi/XDB6spdmoZxmClSoxA&#10;PHZT7PmYc+yaBsWoHOAsROVpU4fkINM0DY1MMBG6s81yPn/aTCHJmIJQiLS6OW7ydcXXWon8WmtU&#10;mdmeU225jqmO12Vs1ivohgRxNOJUBvxDFQ6Mp0vPUBvIwN4n8weUMyIFDDrPRHBN0NoIVTkQm8X8&#10;NzZvRoiqciFxMJ5lwv8HK17ttokZSb3jzIOjFt1+/Prjw6ebz99vvn1hbVFoitjRwUu/TacZxm0q&#10;dPc6ufInImxfVT2cVVX7zAQttu2Tx21L4ou7veY+MSbML1RwrAQ9x5zADGO+DN5T70JaVFVh9xIz&#10;XU2JdwnlVuvZ1PMlfS2hA9lHW8gUukiE0A812YcrY21tdEneAI5sB+QHDNbIowNGBfK5lywfIing&#10;yaq8QDslObOKnF2iCpHB2L85SaVaTxUX7Y5qleg6yEMVsa5TTyunk/+KaX6d1+z7V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a2Zo/WAAAACAEAAA8AAAAAAAAAAQAgAAAAIgAAAGRycy9kb3du&#10;cmV2LnhtbFBLAQIUABQAAAAIAIdO4kAbJ7zeyAEAAG0DAAAOAAAAAAAAAAEAIAAAACUBAABkcnMv&#10;ZTJvRG9jLnhtbFBLBQYAAAAABgAGAFkBAABfBQAAAAA=&#10;">
                <v:fill on="f" focussize="0,0"/>
                <v:stroke on="f" weight="1.75pt"/>
                <v:imagedata o:title=""/>
                <o:lock v:ext="edit" aspectratio="f"/>
              </v:shape>
            </w:pict>
          </mc:Fallback>
        </mc:AlternateContent>
      </w:r>
      <w:r>
        <w:rPr>
          <w:rFonts w:hint="eastAsia" w:ascii="方正小标宋简体" w:hAnsi="宋体" w:eastAsia="方正小标宋简体"/>
          <w:bCs/>
          <w:sz w:val="44"/>
          <w:szCs w:val="44"/>
          <w:lang w:eastAsia="zh-CN"/>
        </w:rPr>
        <w:t>莱山区</w:t>
      </w:r>
      <w:r>
        <w:rPr>
          <w:rFonts w:hint="eastAsia" w:ascii="方正小标宋简体" w:hAnsi="宋体" w:eastAsia="方正小标宋简体"/>
          <w:bCs/>
          <w:sz w:val="44"/>
          <w:szCs w:val="44"/>
        </w:rPr>
        <w:t>申报202</w:t>
      </w:r>
      <w:r>
        <w:rPr>
          <w:rFonts w:hint="eastAsia" w:ascii="方正小标宋简体" w:hAnsi="宋体" w:eastAsia="方正小标宋简体"/>
          <w:bCs/>
          <w:sz w:val="44"/>
          <w:szCs w:val="44"/>
          <w:lang w:val="en-US" w:eastAsia="zh-CN"/>
        </w:rPr>
        <w:t>1</w:t>
      </w:r>
      <w:r>
        <w:rPr>
          <w:rFonts w:hint="eastAsia" w:ascii="方正小标宋简体" w:hAnsi="宋体" w:eastAsia="方正小标宋简体"/>
          <w:bCs/>
          <w:sz w:val="44"/>
          <w:szCs w:val="44"/>
        </w:rPr>
        <w:t>年度烟台市专利奖的通知</w:t>
      </w:r>
    </w:p>
    <w:p>
      <w:pPr>
        <w:keepNext w:val="0"/>
        <w:keepLines w:val="0"/>
        <w:pageBreakBefore w:val="0"/>
        <w:kinsoku/>
        <w:overflowPunct/>
        <w:topLinePunct w:val="0"/>
        <w:bidi w:val="0"/>
        <w:snapToGrid/>
        <w:spacing w:line="560" w:lineRule="exact"/>
        <w:rPr>
          <w:rFonts w:ascii="仿宋_GB2312" w:eastAsia="仿宋_GB2312"/>
          <w:sz w:val="32"/>
          <w:szCs w:val="32"/>
        </w:rPr>
      </w:pPr>
    </w:p>
    <w:p>
      <w:pPr>
        <w:keepNext w:val="0"/>
        <w:keepLines w:val="0"/>
        <w:pageBreakBefore w:val="0"/>
        <w:widowControl w:val="0"/>
        <w:kinsoku/>
        <w:wordWrap/>
        <w:overflowPunct/>
        <w:topLinePunct w:val="0"/>
        <w:bidi w:val="0"/>
        <w:snapToGrid/>
        <w:spacing w:line="580" w:lineRule="exact"/>
        <w:textAlignment w:val="auto"/>
        <w:rPr>
          <w:rFonts w:ascii="仿宋_GB2312" w:eastAsia="仿宋_GB2312"/>
          <w:sz w:val="32"/>
          <w:szCs w:val="32"/>
          <w:highlight w:val="none"/>
        </w:rPr>
      </w:pPr>
      <w:r>
        <w:rPr>
          <w:rFonts w:hint="eastAsia" w:ascii="仿宋_GB2312" w:eastAsia="仿宋_GB2312"/>
          <w:sz w:val="32"/>
          <w:szCs w:val="32"/>
          <w:highlight w:val="none"/>
        </w:rPr>
        <w:t>各有关单位：</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根据《烟台市专利奖评奖办法》（烟政办发〔2018〕16号）和《烟台市专利奖评奖办法实施细则》（烟知〔2018〕42号）的有关规定，为做好</w:t>
      </w:r>
      <w:r>
        <w:rPr>
          <w:rFonts w:hint="eastAsia" w:ascii="仿宋_GB2312" w:eastAsia="仿宋_GB2312"/>
          <w:sz w:val="32"/>
          <w:szCs w:val="32"/>
          <w:highlight w:val="none"/>
          <w:lang w:val="en-US" w:eastAsia="zh-CN"/>
        </w:rPr>
        <w:t>2021</w:t>
      </w:r>
      <w:r>
        <w:rPr>
          <w:rFonts w:hint="eastAsia" w:ascii="仿宋_GB2312" w:eastAsia="仿宋_GB2312"/>
          <w:sz w:val="32"/>
          <w:szCs w:val="32"/>
        </w:rPr>
        <w:t>年度烟台市专利奖申报推荐工作，现将有关事项通知如下：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一、报奖条件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cs="仿宋_GB2312"/>
          <w:kern w:val="0"/>
          <w:sz w:val="32"/>
          <w:szCs w:val="32"/>
          <w:highlight w:val="none"/>
        </w:rPr>
        <w:t>20</w:t>
      </w:r>
      <w:r>
        <w:rPr>
          <w:rFonts w:hint="eastAsia" w:ascii="仿宋_GB2312" w:eastAsia="仿宋_GB2312" w:cs="仿宋_GB2312"/>
          <w:kern w:val="0"/>
          <w:sz w:val="32"/>
          <w:szCs w:val="32"/>
          <w:highlight w:val="none"/>
          <w:lang w:val="en-US" w:eastAsia="zh-CN"/>
        </w:rPr>
        <w:t>21</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rPr>
        <w:t>烟台市专利奖申报需符合以下条件：</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（一）被授权的发明、实用新型或外观设计专利，</w:t>
      </w:r>
      <w:r>
        <w:rPr>
          <w:rFonts w:hint="eastAsia" w:ascii="仿宋_GB2312" w:hAnsi="宋体" w:eastAsia="仿宋_GB2312" w:cs="宋体"/>
          <w:kern w:val="0"/>
          <w:sz w:val="32"/>
          <w:szCs w:val="32"/>
          <w:highlight w:val="none"/>
          <w:u w:val="none"/>
        </w:rPr>
        <w:t>20</w:t>
      </w:r>
      <w:r>
        <w:rPr>
          <w:rFonts w:hint="eastAsia" w:ascii="仿宋_GB2312" w:hAnsi="宋体" w:eastAsia="仿宋_GB2312" w:cs="宋体"/>
          <w:kern w:val="0"/>
          <w:sz w:val="32"/>
          <w:szCs w:val="32"/>
          <w:highlight w:val="none"/>
          <w:u w:val="none"/>
          <w:lang w:val="en-US" w:eastAsia="zh-CN"/>
        </w:rPr>
        <w:t>20</w:t>
      </w:r>
      <w:r>
        <w:rPr>
          <w:rFonts w:hint="eastAsia" w:ascii="仿宋_GB2312" w:hAnsi="宋体" w:eastAsia="仿宋_GB2312" w:cs="宋体"/>
          <w:kern w:val="0"/>
          <w:sz w:val="32"/>
          <w:szCs w:val="32"/>
          <w:highlight w:val="none"/>
          <w:u w:val="none"/>
        </w:rPr>
        <w:t>年12月31日前（含12月31日）</w:t>
      </w:r>
      <w:r>
        <w:rPr>
          <w:rFonts w:hint="eastAsia" w:ascii="仿宋_GB2312" w:hAnsi="宋体" w:eastAsia="仿宋_GB2312" w:cs="宋体"/>
          <w:kern w:val="0"/>
          <w:sz w:val="32"/>
          <w:szCs w:val="32"/>
        </w:rPr>
        <w:t>已获得专利权，</w:t>
      </w:r>
      <w:r>
        <w:rPr>
          <w:rFonts w:hint="eastAsia" w:ascii="仿宋_GB2312" w:eastAsia="仿宋_GB2312" w:cs="仿宋_GB2312"/>
          <w:kern w:val="0"/>
          <w:sz w:val="32"/>
          <w:szCs w:val="32"/>
        </w:rPr>
        <w:t>专利权有效、权属明确；</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（二）发明创造水平高，已经在烟台市行政区域内实施并取得较好的经济和社会效益，拥有良好发展前景，具有高质量、高稳定性；</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（三）应当是符合“办法”规定地域条件的专利权人的原始专利，排除受让专利；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hAnsi="宋体" w:eastAsia="仿宋_GB2312" w:cs="宋体"/>
          <w:kern w:val="0"/>
          <w:sz w:val="32"/>
          <w:szCs w:val="32"/>
        </w:rPr>
        <w:t>（四）</w:t>
      </w:r>
      <w:r>
        <w:rPr>
          <w:rFonts w:hint="eastAsia" w:ascii="仿宋_GB2312" w:eastAsia="仿宋_GB2312" w:cs="仿宋_GB2312"/>
          <w:kern w:val="0"/>
          <w:sz w:val="32"/>
          <w:szCs w:val="32"/>
        </w:rPr>
        <w:t>不存在专利权属纠纷、发明人或设计人纠纷；</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（五）在专利权无效宣告请求程序中的不得申报；</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kern w:val="0"/>
          <w:sz w:val="32"/>
          <w:szCs w:val="32"/>
        </w:rPr>
      </w:pPr>
      <w:r>
        <w:rPr>
          <w:rFonts w:hint="eastAsia" w:ascii="仿宋_GB2312" w:eastAsia="仿宋_GB2312" w:cs="仿宋_GB2312"/>
          <w:kern w:val="0"/>
          <w:sz w:val="32"/>
          <w:szCs w:val="32"/>
        </w:rPr>
        <w:t>（六）已经获得国家、省和市技术发明奖、科学技术进步奖、专利奖的不再参评。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二、报奖材料</w:t>
      </w:r>
    </w:p>
    <w:p>
      <w:pPr>
        <w:keepNext w:val="0"/>
        <w:keepLines w:val="0"/>
        <w:pageBreakBefore w:val="0"/>
        <w:widowControl w:val="0"/>
        <w:kinsoku/>
        <w:wordWrap/>
        <w:overflowPunct/>
        <w:topLinePunct w:val="0"/>
        <w:bidi w:val="0"/>
        <w:snapToGrid/>
        <w:spacing w:line="580" w:lineRule="exact"/>
        <w:ind w:firstLine="596" w:firstLineChars="200"/>
        <w:textAlignment w:val="auto"/>
        <w:rPr>
          <w:rFonts w:ascii="仿宋_GB2312" w:eastAsia="仿宋_GB2312"/>
          <w:spacing w:val="-11"/>
          <w:sz w:val="32"/>
          <w:szCs w:val="32"/>
        </w:rPr>
      </w:pPr>
      <w:r>
        <w:rPr>
          <w:rFonts w:hint="eastAsia" w:ascii="仿宋_GB2312" w:eastAsia="仿宋_GB2312"/>
          <w:spacing w:val="-11"/>
          <w:sz w:val="32"/>
          <w:szCs w:val="32"/>
        </w:rPr>
        <w:t>申报材料主要包括烟台市专利奖申报书和附件（证明材料）。</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cs="仿宋_GB2312"/>
          <w:kern w:val="0"/>
          <w:sz w:val="32"/>
          <w:szCs w:val="32"/>
        </w:rPr>
        <w:t>（一）</w:t>
      </w:r>
      <w:r>
        <w:rPr>
          <w:rFonts w:hint="eastAsia" w:ascii="仿宋_GB2312" w:eastAsia="仿宋_GB2312"/>
          <w:sz w:val="32"/>
          <w:szCs w:val="32"/>
        </w:rPr>
        <w:t>申报书</w:t>
      </w:r>
      <w:r>
        <w:rPr>
          <w:rFonts w:hint="eastAsia" w:ascii="仿宋_GB2312" w:eastAsia="仿宋_GB2312"/>
          <w:sz w:val="32"/>
          <w:szCs w:val="32"/>
          <w:lang w:eastAsia="zh-CN"/>
        </w:rPr>
        <w:t>，</w:t>
      </w:r>
      <w:r>
        <w:rPr>
          <w:rFonts w:hint="eastAsia" w:ascii="仿宋_GB2312" w:eastAsia="仿宋_GB2312"/>
          <w:sz w:val="32"/>
          <w:szCs w:val="32"/>
        </w:rPr>
        <w:t>主要包括：报奖专利基本信息、专利质量、技术先进性评价材料、社会效益及发展前景评价材料、运用及保护措施和成效等内容</w:t>
      </w:r>
      <w:r>
        <w:rPr>
          <w:rFonts w:hint="eastAsia" w:ascii="仿宋_GB2312" w:eastAsia="仿宋_GB2312"/>
          <w:sz w:val="32"/>
          <w:szCs w:val="32"/>
          <w:lang w:eastAsia="zh-CN"/>
        </w:rPr>
        <w:t>，</w:t>
      </w:r>
      <w:r>
        <w:rPr>
          <w:rFonts w:hint="eastAsia" w:ascii="仿宋_GB2312" w:eastAsia="仿宋_GB2312"/>
          <w:strike w:val="0"/>
          <w:dstrike w:val="0"/>
          <w:sz w:val="32"/>
          <w:szCs w:val="32"/>
          <w:highlight w:val="none"/>
          <w:u w:val="none"/>
          <w:lang w:eastAsia="zh-CN"/>
        </w:rPr>
        <w:t>详</w:t>
      </w:r>
      <w:r>
        <w:rPr>
          <w:rFonts w:hint="eastAsia" w:ascii="仿宋_GB2312" w:eastAsia="仿宋_GB2312"/>
          <w:strike w:val="0"/>
          <w:dstrike w:val="0"/>
          <w:sz w:val="32"/>
          <w:szCs w:val="32"/>
          <w:highlight w:val="none"/>
          <w:u w:val="none"/>
        </w:rPr>
        <w:t>见</w:t>
      </w:r>
      <w:r>
        <w:rPr>
          <w:rFonts w:hint="eastAsia" w:ascii="仿宋_GB2312" w:eastAsia="仿宋_GB2312"/>
          <w:strike w:val="0"/>
          <w:dstrike w:val="0"/>
          <w:sz w:val="32"/>
          <w:szCs w:val="32"/>
          <w:highlight w:val="none"/>
          <w:u w:val="none"/>
          <w:lang w:eastAsia="zh-CN"/>
        </w:rPr>
        <w:t>附件</w:t>
      </w:r>
      <w:r>
        <w:rPr>
          <w:rFonts w:hint="eastAsia" w:ascii="仿宋_GB2312" w:eastAsia="仿宋_GB2312"/>
          <w:strike w:val="0"/>
          <w:dstrike w:val="0"/>
          <w:sz w:val="32"/>
          <w:szCs w:val="32"/>
          <w:highlight w:val="none"/>
          <w:u w:val="none"/>
          <w:lang w:val="en-US" w:eastAsia="zh-CN"/>
        </w:rPr>
        <w:t>1</w:t>
      </w:r>
      <w:r>
        <w:rPr>
          <w:rFonts w:hint="eastAsia" w:ascii="仿宋_GB2312" w:eastAsia="仿宋_GB2312"/>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cs="仿宋_GB2312"/>
          <w:kern w:val="0"/>
          <w:sz w:val="32"/>
          <w:szCs w:val="32"/>
        </w:rPr>
        <w:t>（二）</w:t>
      </w: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rPr>
        <w:t>主要包括：《烟台市专利奖评奖办法》第七条、第八条和《烟台市专利奖评奖办法实施细则》第四条所规定条目的证明材料；其中经济效益证明要加盖出具单位的财务专用章，并提交</w:t>
      </w:r>
      <w:r>
        <w:rPr>
          <w:rFonts w:hint="eastAsia" w:ascii="仿宋_GB2312" w:hAnsi="宋体" w:eastAsia="仿宋_GB2312" w:cs="宋体"/>
          <w:spacing w:val="-6"/>
          <w:kern w:val="0"/>
          <w:sz w:val="32"/>
        </w:rPr>
        <w:t>上年度完税证明</w:t>
      </w:r>
      <w:r>
        <w:rPr>
          <w:rFonts w:hint="eastAsia" w:ascii="仿宋_GB2312" w:eastAsia="仿宋_GB2312"/>
          <w:sz w:val="32"/>
          <w:szCs w:val="32"/>
        </w:rPr>
        <w:t>，社会效益说明要加盖出具单位的公章</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hAnsi="宋体" w:eastAsia="仿宋_GB2312" w:cs="宋体"/>
          <w:color w:val="000000"/>
          <w:spacing w:val="-6"/>
          <w:kern w:val="0"/>
          <w:sz w:val="32"/>
        </w:rPr>
      </w:pPr>
      <w:r>
        <w:rPr>
          <w:rFonts w:hint="eastAsia" w:ascii="仿宋_GB2312" w:hAnsi="宋体" w:eastAsia="仿宋_GB2312" w:cs="宋体"/>
          <w:kern w:val="0"/>
          <w:sz w:val="32"/>
          <w:szCs w:val="32"/>
        </w:rPr>
        <w:t>（三）报奖专利需提交近期出具的</w:t>
      </w:r>
      <w:r>
        <w:rPr>
          <w:rFonts w:hint="eastAsia" w:ascii="仿宋_GB2312" w:hAnsi="宋体" w:eastAsia="仿宋_GB2312" w:cs="宋体"/>
          <w:spacing w:val="-6"/>
          <w:kern w:val="0"/>
          <w:sz w:val="32"/>
        </w:rPr>
        <w:t>专利登记簿副本或可以证明专利权维持有效的缴费证明。</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（四）实用新型专利、外观设计专利还需提交国家知识产权局出具的专利权评价报告。</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（五）</w:t>
      </w:r>
      <w:r>
        <w:rPr>
          <w:rFonts w:hint="eastAsia" w:ascii="仿宋_GB2312" w:eastAsia="仿宋_GB2312"/>
          <w:sz w:val="32"/>
          <w:szCs w:val="32"/>
        </w:rPr>
        <w:t>其他有助于评价专利的证明材料，附件总数要求不超过100页。</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rPr>
        <w:t>（六）</w:t>
      </w:r>
      <w:r>
        <w:rPr>
          <w:rFonts w:hint="eastAsia" w:ascii="仿宋_GB2312" w:hAnsi="宋体" w:eastAsia="仿宋_GB2312" w:cs="宋体"/>
          <w:kern w:val="0"/>
          <w:sz w:val="32"/>
          <w:szCs w:val="32"/>
        </w:rPr>
        <w:t>材料真实性承诺书，加盖单位公章。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三、报奖程序</w:t>
      </w:r>
    </w:p>
    <w:p>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ascii="黑体" w:eastAsia="黑体"/>
          <w:strike/>
          <w:dstrike w:val="0"/>
          <w:sz w:val="32"/>
          <w:szCs w:val="32"/>
        </w:rPr>
      </w:pPr>
      <w:r>
        <w:rPr>
          <w:rFonts w:hint="eastAsia" w:ascii="仿宋_GB2312" w:eastAsia="仿宋_GB2312"/>
          <w:sz w:val="32"/>
          <w:szCs w:val="32"/>
          <w:lang w:eastAsia="zh-CN"/>
        </w:rPr>
        <w:t>各单位</w:t>
      </w:r>
      <w:r>
        <w:rPr>
          <w:rFonts w:hint="eastAsia" w:ascii="仿宋_GB2312" w:eastAsia="仿宋_GB2312" w:cs="仿宋_GB2312"/>
          <w:kern w:val="0"/>
          <w:sz w:val="32"/>
          <w:szCs w:val="32"/>
        </w:rPr>
        <w:t>根据专利权属地原则</w:t>
      </w:r>
      <w:r>
        <w:rPr>
          <w:rFonts w:hint="eastAsia" w:ascii="仿宋_GB2312" w:eastAsia="仿宋_GB2312"/>
          <w:strike w:val="0"/>
          <w:dstrike w:val="0"/>
          <w:sz w:val="32"/>
          <w:szCs w:val="32"/>
          <w:lang w:eastAsia="zh-CN"/>
        </w:rPr>
        <w:t>向莱山区市场监督管理局提交申报材料</w:t>
      </w:r>
      <w:r>
        <w:rPr>
          <w:rFonts w:hint="eastAsia" w:ascii="仿宋_GB2312" w:eastAsia="仿宋_GB2312"/>
          <w:strike w:val="0"/>
          <w:dstrike w:val="0"/>
          <w:sz w:val="32"/>
          <w:szCs w:val="32"/>
          <w:lang w:val="en-US" w:eastAsia="zh-CN"/>
        </w:rPr>
        <w:t>。</w:t>
      </w:r>
      <w:r>
        <w:rPr>
          <w:rFonts w:hint="eastAsia" w:ascii="仿宋_GB2312" w:eastAsia="仿宋_GB2312"/>
          <w:strike w:val="0"/>
          <w:dstrike w:val="0"/>
          <w:sz w:val="32"/>
          <w:szCs w:val="32"/>
          <w:lang w:eastAsia="zh-CN"/>
        </w:rPr>
        <w:t>我局负责进行初审，</w:t>
      </w:r>
      <w:r>
        <w:rPr>
          <w:rFonts w:hint="eastAsia" w:ascii="仿宋_GB2312" w:eastAsia="仿宋_GB2312"/>
          <w:sz w:val="32"/>
          <w:szCs w:val="32"/>
        </w:rPr>
        <w:t>择优推荐专利项目。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黑体" w:eastAsia="黑体"/>
          <w:sz w:val="32"/>
          <w:szCs w:val="32"/>
        </w:rPr>
      </w:pPr>
      <w:r>
        <w:rPr>
          <w:rFonts w:hint="eastAsia" w:ascii="仿宋_GB2312" w:eastAsia="仿宋_GB2312"/>
          <w:sz w:val="32"/>
          <w:szCs w:val="32"/>
        </w:rPr>
        <w:t>市专利奖申报推荐材料包括电子版和纸质版</w:t>
      </w:r>
      <w:r>
        <w:rPr>
          <w:rFonts w:hint="eastAsia" w:ascii="仿宋_GB2312" w:eastAsia="仿宋_GB2312"/>
          <w:sz w:val="32"/>
          <w:szCs w:val="32"/>
          <w:lang w:eastAsia="zh-CN"/>
        </w:rPr>
        <w:t>，申报材料需</w:t>
      </w:r>
      <w:r>
        <w:rPr>
          <w:rFonts w:hint="eastAsia" w:ascii="仿宋_GB2312" w:eastAsia="仿宋_GB2312"/>
          <w:sz w:val="32"/>
          <w:szCs w:val="32"/>
        </w:rPr>
        <w:t>加盖申报单位公章，一式一份报送</w:t>
      </w:r>
      <w:r>
        <w:rPr>
          <w:rFonts w:hint="eastAsia" w:ascii="仿宋_GB2312" w:eastAsia="仿宋_GB2312"/>
          <w:strike w:val="0"/>
          <w:dstrike w:val="0"/>
          <w:sz w:val="32"/>
          <w:szCs w:val="32"/>
          <w:lang w:eastAsia="zh-CN"/>
        </w:rPr>
        <w:t>莱山区市场监督管理局</w:t>
      </w:r>
      <w:r>
        <w:rPr>
          <w:rFonts w:hint="eastAsia" w:ascii="仿宋_GB2312" w:eastAsia="仿宋_GB2312"/>
          <w:sz w:val="32"/>
          <w:szCs w:val="32"/>
        </w:rPr>
        <w:t>，报送截止时间为</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日</w:t>
      </w:r>
      <w:r>
        <w:rPr>
          <w:rFonts w:hint="eastAsia" w:ascii="仿宋_GB2312" w:eastAsia="仿宋_GB2312"/>
          <w:sz w:val="32"/>
          <w:szCs w:val="32"/>
        </w:rPr>
        <w:t>。电子版推荐材料和纸质版推荐材料内容应完全一致。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1"/>
        <w:rPr>
          <w:rFonts w:ascii="黑体" w:eastAsia="黑体"/>
          <w:sz w:val="32"/>
          <w:szCs w:val="32"/>
        </w:rPr>
      </w:pPr>
      <w:r>
        <w:rPr>
          <w:rFonts w:hint="eastAsia" w:ascii="黑体" w:eastAsia="黑体"/>
          <w:sz w:val="32"/>
          <w:szCs w:val="32"/>
        </w:rPr>
        <w:t>四、有关要求</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各有关单位、个人要高度重视，认真学习《烟台市专利奖评奖办法》和《烟台市专利奖评奖办法实施细则》</w:t>
      </w:r>
      <w:r>
        <w:rPr>
          <w:rFonts w:hint="eastAsia" w:ascii="仿宋_GB2312" w:eastAsia="仿宋_GB2312"/>
          <w:sz w:val="32"/>
          <w:szCs w:val="32"/>
          <w:lang w:eastAsia="zh-CN"/>
        </w:rPr>
        <w:t>相关</w:t>
      </w:r>
      <w:r>
        <w:rPr>
          <w:rFonts w:hint="eastAsia" w:ascii="仿宋_GB2312" w:eastAsia="仿宋_GB2312"/>
          <w:sz w:val="32"/>
          <w:szCs w:val="32"/>
        </w:rPr>
        <w:t>规定，准确把握条件，认真填写核实材料，按时</w:t>
      </w:r>
      <w:r>
        <w:rPr>
          <w:rFonts w:hint="eastAsia" w:ascii="仿宋_GB2312" w:eastAsia="仿宋_GB2312"/>
          <w:sz w:val="32"/>
          <w:szCs w:val="32"/>
          <w:lang w:eastAsia="zh-CN"/>
        </w:rPr>
        <w:t>提交</w:t>
      </w:r>
      <w:r>
        <w:rPr>
          <w:rFonts w:hint="eastAsia" w:ascii="仿宋_GB2312" w:eastAsia="仿宋_GB2312"/>
          <w:sz w:val="32"/>
          <w:szCs w:val="32"/>
        </w:rPr>
        <w:t>申报</w:t>
      </w:r>
      <w:r>
        <w:rPr>
          <w:rFonts w:hint="eastAsia" w:ascii="仿宋_GB2312" w:eastAsia="仿宋_GB2312"/>
          <w:sz w:val="32"/>
          <w:szCs w:val="32"/>
          <w:lang w:eastAsia="zh-CN"/>
        </w:rPr>
        <w:t>推荐材料，并填报“</w:t>
      </w:r>
      <w:r>
        <w:rPr>
          <w:rFonts w:hint="eastAsia" w:ascii="仿宋_GB2312" w:eastAsia="仿宋_GB2312"/>
          <w:sz w:val="32"/>
          <w:szCs w:val="32"/>
          <w:lang w:val="en-US" w:eastAsia="zh-CN"/>
        </w:rPr>
        <w:t>2021年度</w:t>
      </w:r>
      <w:r>
        <w:rPr>
          <w:rFonts w:hint="eastAsia" w:ascii="仿宋_GB2312" w:eastAsia="仿宋_GB2312"/>
          <w:sz w:val="32"/>
          <w:szCs w:val="32"/>
        </w:rPr>
        <w:t>烟台市专利奖项目汇总表</w:t>
      </w:r>
      <w:r>
        <w:rPr>
          <w:rFonts w:hint="eastAsia" w:ascii="仿宋_GB2312" w:eastAsia="仿宋_GB2312"/>
          <w:sz w:val="32"/>
          <w:szCs w:val="32"/>
          <w:lang w:eastAsia="zh-CN"/>
        </w:rPr>
        <w:t>”，详见附件</w:t>
      </w:r>
      <w:r>
        <w:rPr>
          <w:rFonts w:hint="eastAsia" w:ascii="仿宋_GB2312" w:eastAsia="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lang w:val="en-US" w:eastAsia="zh-CN"/>
        </w:rPr>
      </w:pPr>
      <w:r>
        <w:rPr>
          <w:rFonts w:hint="eastAsia" w:ascii="仿宋_GB2312" w:eastAsia="仿宋_GB2312" w:cs="Times New Roman"/>
          <w:sz w:val="32"/>
          <w:szCs w:val="32"/>
          <w:lang w:val="en-US" w:eastAsia="zh-CN"/>
        </w:rPr>
        <w:t>联系人</w:t>
      </w:r>
      <w:r>
        <w:rPr>
          <w:rFonts w:hint="eastAsia" w:ascii="仿宋_GB2312" w:eastAsia="仿宋_GB2312"/>
          <w:sz w:val="32"/>
          <w:szCs w:val="32"/>
        </w:rPr>
        <w:t>：</w:t>
      </w:r>
      <w:r>
        <w:rPr>
          <w:rFonts w:hint="eastAsia" w:ascii="仿宋_GB2312" w:hAnsi="宋体" w:eastAsia="仿宋_GB2312" w:cs="宋体"/>
          <w:color w:val="auto"/>
          <w:spacing w:val="-6"/>
          <w:kern w:val="0"/>
          <w:sz w:val="32"/>
          <w:szCs w:val="32"/>
          <w:u w:val="none"/>
          <w:lang w:eastAsia="zh-CN"/>
        </w:rPr>
        <w:t>莱山区市场监督管理局质量监管科</w:t>
      </w:r>
      <w:r>
        <w:rPr>
          <w:rFonts w:hint="eastAsia" w:ascii="仿宋_GB2312" w:eastAsia="仿宋_GB2312"/>
          <w:sz w:val="32"/>
          <w:szCs w:val="32"/>
        </w:rPr>
        <w:t xml:space="preserve">  </w:t>
      </w:r>
      <w:r>
        <w:rPr>
          <w:rFonts w:hint="eastAsia" w:ascii="仿宋_GB2312" w:eastAsia="仿宋_GB2312"/>
          <w:sz w:val="32"/>
          <w:szCs w:val="32"/>
          <w:lang w:eastAsia="zh-CN"/>
        </w:rPr>
        <w:t>李</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pacing w:val="-17"/>
          <w:sz w:val="32"/>
          <w:szCs w:val="32"/>
          <w:highlight w:val="none"/>
          <w:lang w:val="en-US" w:eastAsia="zh-CN"/>
        </w:rPr>
      </w:pPr>
      <w:r>
        <w:rPr>
          <w:rFonts w:hint="eastAsia" w:ascii="仿宋_GB2312" w:eastAsia="仿宋_GB2312" w:cs="Times New Roman"/>
          <w:sz w:val="32"/>
          <w:szCs w:val="32"/>
        </w:rPr>
        <w:t>电</w:t>
      </w:r>
      <w:r>
        <w:rPr>
          <w:rFonts w:hint="eastAsia" w:ascii="仿宋_GB2312" w:eastAsia="仿宋_GB2312" w:cs="Times New Roman"/>
          <w:sz w:val="32"/>
          <w:szCs w:val="32"/>
          <w:lang w:val="en-US" w:eastAsia="zh-CN"/>
        </w:rPr>
        <w:t xml:space="preserve">  </w:t>
      </w:r>
      <w:r>
        <w:rPr>
          <w:rFonts w:hint="eastAsia" w:ascii="仿宋_GB2312" w:eastAsia="仿宋_GB2312" w:cs="Times New Roman"/>
          <w:sz w:val="32"/>
          <w:szCs w:val="32"/>
        </w:rPr>
        <w:t>话</w:t>
      </w:r>
      <w:r>
        <w:rPr>
          <w:rFonts w:hint="eastAsia" w:ascii="仿宋_GB2312" w:eastAsia="仿宋_GB2312"/>
          <w:spacing w:val="-28"/>
          <w:sz w:val="32"/>
          <w:szCs w:val="32"/>
        </w:rPr>
        <w:t>：</w:t>
      </w:r>
      <w:r>
        <w:rPr>
          <w:rFonts w:hint="eastAsia" w:ascii="仿宋_GB2312" w:eastAsia="仿宋_GB2312"/>
          <w:sz w:val="32"/>
          <w:szCs w:val="32"/>
          <w:lang w:val="en-US" w:eastAsia="zh-CN"/>
        </w:rPr>
        <w:t xml:space="preserve"> </w:t>
      </w:r>
      <w:r>
        <w:rPr>
          <w:rFonts w:hint="eastAsia" w:ascii="仿宋_GB2312" w:eastAsia="仿宋_GB2312"/>
          <w:spacing w:val="-17"/>
          <w:sz w:val="32"/>
          <w:szCs w:val="32"/>
          <w:highlight w:val="none"/>
        </w:rPr>
        <w:t>0535-</w:t>
      </w:r>
      <w:r>
        <w:rPr>
          <w:rFonts w:hint="eastAsia" w:ascii="仿宋_GB2312" w:eastAsia="仿宋_GB2312"/>
          <w:spacing w:val="-17"/>
          <w:sz w:val="32"/>
          <w:szCs w:val="32"/>
          <w:highlight w:val="none"/>
          <w:lang w:val="en-US" w:eastAsia="zh-CN"/>
        </w:rPr>
        <w:t>6702315      15653566310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pacing w:val="-17"/>
          <w:sz w:val="32"/>
          <w:szCs w:val="32"/>
          <w:lang w:val="en-US" w:eastAsia="zh-CN"/>
        </w:rPr>
      </w:pPr>
      <w:r>
        <w:rPr>
          <w:rFonts w:hint="eastAsia" w:ascii="仿宋_GB2312" w:eastAsia="仿宋_GB2312" w:cs="Times New Roman"/>
          <w:sz w:val="32"/>
          <w:szCs w:val="32"/>
          <w:lang w:val="en-US" w:eastAsia="zh-CN"/>
        </w:rPr>
        <w:t>邮  箱</w:t>
      </w:r>
      <w:r>
        <w:rPr>
          <w:rFonts w:hint="eastAsia" w:ascii="仿宋_GB2312" w:eastAsia="仿宋_GB2312"/>
          <w:sz w:val="32"/>
          <w:szCs w:val="32"/>
        </w:rPr>
        <w:t>：</w:t>
      </w:r>
      <w:r>
        <w:rPr>
          <w:rFonts w:hint="eastAsia" w:ascii="仿宋_GB2312" w:eastAsia="仿宋_GB2312"/>
          <w:spacing w:val="-17"/>
          <w:sz w:val="32"/>
          <w:szCs w:val="32"/>
          <w:highlight w:val="none"/>
          <w:lang w:val="en-US" w:eastAsia="zh-CN"/>
        </w:rPr>
        <w:t>252673301@qq.com</w:t>
      </w:r>
    </w:p>
    <w:p>
      <w:pPr>
        <w:keepNext w:val="0"/>
        <w:keepLines w:val="0"/>
        <w:pageBreakBefore w:val="0"/>
        <w:widowControl w:val="0"/>
        <w:kinsoku/>
        <w:wordWrap/>
        <w:overflowPunct/>
        <w:topLinePunct w:val="0"/>
        <w:bidi w:val="0"/>
        <w:snapToGrid/>
        <w:spacing w:line="580" w:lineRule="exact"/>
        <w:textAlignment w:val="auto"/>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cs="Times New Roman"/>
          <w:sz w:val="32"/>
          <w:szCs w:val="32"/>
          <w:lang w:val="en-US" w:eastAsia="zh-CN"/>
        </w:rPr>
        <w:t>烟台市</w:t>
      </w:r>
      <w:r>
        <w:rPr>
          <w:rFonts w:hint="eastAsia" w:ascii="仿宋_GB2312" w:eastAsia="仿宋_GB2312"/>
          <w:sz w:val="32"/>
          <w:szCs w:val="32"/>
          <w:lang w:eastAsia="zh-CN"/>
        </w:rPr>
        <w:t>专利奖申报书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eastAsia="仿宋_GB2312"/>
          <w:sz w:val="32"/>
          <w:szCs w:val="32"/>
          <w:lang w:eastAsia="zh-CN"/>
        </w:rPr>
        <w:t>附件</w:t>
      </w:r>
      <w:r>
        <w:rPr>
          <w:rFonts w:hint="eastAsia" w:ascii="仿宋_GB2312" w:eastAsia="仿宋_GB2312"/>
          <w:sz w:val="32"/>
          <w:szCs w:val="32"/>
          <w:lang w:val="en-US" w:eastAsia="zh-CN"/>
        </w:rPr>
        <w:t>2：2021年度</w:t>
      </w:r>
      <w:r>
        <w:rPr>
          <w:rFonts w:hint="eastAsia" w:ascii="仿宋_GB2312" w:eastAsia="仿宋_GB2312"/>
          <w:sz w:val="32"/>
          <w:szCs w:val="32"/>
        </w:rPr>
        <w:t>烟台市专利奖项目汇总表</w:t>
      </w:r>
    </w:p>
    <w:p>
      <w:pPr>
        <w:keepNext w:val="0"/>
        <w:keepLines w:val="0"/>
        <w:pageBreakBefore w:val="0"/>
        <w:widowControl w:val="0"/>
        <w:kinsoku/>
        <w:overflowPunct/>
        <w:topLinePunct w:val="0"/>
        <w:bidi w:val="0"/>
        <w:snapToGrid/>
        <w:spacing w:line="580" w:lineRule="exact"/>
        <w:rPr>
          <w:rFonts w:hint="eastAsia" w:ascii="仿宋_GB2312" w:eastAsia="仿宋_GB2312"/>
          <w:sz w:val="32"/>
          <w:szCs w:val="32"/>
        </w:rPr>
      </w:pPr>
    </w:p>
    <w:p>
      <w:pPr>
        <w:pStyle w:val="2"/>
        <w:rPr>
          <w:rFonts w:hint="eastAsia" w:ascii="仿宋_GB2312" w:eastAsia="仿宋_GB2312"/>
          <w:sz w:val="32"/>
          <w:szCs w:val="32"/>
        </w:rPr>
      </w:pPr>
    </w:p>
    <w:p>
      <w:pPr>
        <w:keepNext w:val="0"/>
        <w:keepLines w:val="0"/>
        <w:pageBreakBefore w:val="0"/>
        <w:widowControl w:val="0"/>
        <w:kinsoku/>
        <w:wordWrap w:val="0"/>
        <w:overflowPunct/>
        <w:topLinePunct w:val="0"/>
        <w:bidi w:val="0"/>
        <w:snapToGrid/>
        <w:spacing w:line="580" w:lineRule="exact"/>
        <w:jc w:val="right"/>
        <w:textAlignment w:val="center"/>
        <w:rPr>
          <w:rFonts w:hint="eastAsia" w:ascii="仿宋_GB2312" w:eastAsia="仿宋_GB2312"/>
          <w:kern w:val="0"/>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仿宋_GB2312" w:eastAsia="仿宋_GB2312"/>
          <w:sz w:val="32"/>
          <w:szCs w:val="32"/>
          <w:lang w:eastAsia="zh-CN"/>
        </w:rPr>
      </w:pPr>
      <w:r>
        <w:rPr>
          <w:rFonts w:hint="eastAsia"/>
          <w:lang w:eastAsia="zh-CN"/>
        </w:rPr>
        <w:tab/>
      </w:r>
      <w:r>
        <w:rPr>
          <w:rFonts w:hint="eastAsia"/>
          <w:lang w:val="en-US" w:eastAsia="zh-CN"/>
        </w:rPr>
        <w:t xml:space="preserve">                                             </w:t>
      </w:r>
      <w:r>
        <w:rPr>
          <w:rFonts w:hint="eastAsia" w:ascii="仿宋_GB2312" w:eastAsia="仿宋_GB2312"/>
          <w:sz w:val="32"/>
          <w:szCs w:val="32"/>
          <w:lang w:eastAsia="zh-CN"/>
        </w:rPr>
        <w:t>莱山区市场监督管理局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textAlignment w:val="auto"/>
        <w:rPr>
          <w:rFonts w:hint="default" w:ascii="仿宋_GB2312" w:eastAsia="仿宋_GB2312"/>
          <w:sz w:val="32"/>
          <w:szCs w:val="32"/>
          <w:lang w:val="en-US" w:eastAsia="zh-CN"/>
        </w:rPr>
        <w:sectPr>
          <w:headerReference r:id="rId4" w:type="default"/>
          <w:footerReference r:id="rId5"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eastAsia="仿宋_GB2312"/>
          <w:sz w:val="32"/>
          <w:szCs w:val="32"/>
          <w:lang w:val="en-US" w:eastAsia="zh-CN"/>
        </w:rPr>
        <w:t>2021年4月19日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ascii="仿宋_GB2312" w:eastAsia="仿宋_GB2312"/>
          <w:b/>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pPr>
        <w:keepNext w:val="0"/>
        <w:keepLines w:val="0"/>
        <w:pageBreakBefore w:val="0"/>
        <w:kinsoku/>
        <w:overflowPunct/>
        <w:topLinePunct w:val="0"/>
        <w:bidi w:val="0"/>
        <w:snapToGrid/>
        <w:spacing w:line="560" w:lineRule="exact"/>
        <w:rPr>
          <w:rFonts w:hint="eastAsia"/>
        </w:rPr>
      </w:pPr>
    </w:p>
    <w:p>
      <w:pPr>
        <w:pStyle w:val="2"/>
        <w:keepNext w:val="0"/>
        <w:keepLines w:val="0"/>
        <w:pageBreakBefore w:val="0"/>
        <w:kinsoku/>
        <w:overflowPunct/>
        <w:topLinePunct w:val="0"/>
        <w:bidi w:val="0"/>
        <w:snapToGrid/>
        <w:spacing w:line="560" w:lineRule="exact"/>
        <w:rPr>
          <w:rFonts w:hint="eastAsia"/>
        </w:rPr>
      </w:pPr>
    </w:p>
    <w:p>
      <w:pPr>
        <w:pStyle w:val="2"/>
        <w:keepNext w:val="0"/>
        <w:keepLines w:val="0"/>
        <w:pageBreakBefore w:val="0"/>
        <w:kinsoku/>
        <w:overflowPunct/>
        <w:topLinePunct w:val="0"/>
        <w:bidi w:val="0"/>
        <w:snapToGrid/>
        <w:spacing w:line="560" w:lineRule="exact"/>
        <w:rPr>
          <w:rFonts w:hint="eastAsia"/>
        </w:rPr>
      </w:pPr>
    </w:p>
    <w:p>
      <w:pPr>
        <w:pStyle w:val="2"/>
        <w:keepNext w:val="0"/>
        <w:keepLines w:val="0"/>
        <w:pageBreakBefore w:val="0"/>
        <w:kinsoku/>
        <w:overflowPunct/>
        <w:topLinePunct w:val="0"/>
        <w:bidi w:val="0"/>
        <w:snapToGrid/>
        <w:spacing w:line="560" w:lineRule="exact"/>
        <w:rPr>
          <w:rFonts w:hint="eastAsia"/>
        </w:rPr>
      </w:pPr>
    </w:p>
    <w:p>
      <w:pPr>
        <w:keepNext w:val="0"/>
        <w:keepLines w:val="0"/>
        <w:pageBreakBefore w:val="0"/>
        <w:kinsoku/>
        <w:overflowPunct/>
        <w:topLinePunct w:val="0"/>
        <w:bidi w:val="0"/>
        <w:snapToGrid/>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2"/>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烟台市专利奖申报书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（发明</w:t>
      </w:r>
      <w:r>
        <w:rPr>
          <w:rFonts w:hint="eastAsia" w:ascii="仿宋_GB2312" w:hAnsi="仿宋_GB2312" w:eastAsia="仿宋_GB2312" w:cs="仿宋_GB2312"/>
          <w:sz w:val="32"/>
          <w:szCs w:val="32"/>
          <w:lang w:val="en-US" w:eastAsia="zh-CN"/>
        </w:rPr>
        <w:t>/实用新型/外观设计</w:t>
      </w:r>
      <w:r>
        <w:rPr>
          <w:rFonts w:hint="eastAsia" w:ascii="仿宋_GB2312" w:hAnsi="仿宋_GB2312" w:eastAsia="仿宋_GB2312" w:cs="仿宋_GB2312"/>
          <w:sz w:val="32"/>
          <w:szCs w:val="32"/>
        </w:rPr>
        <w:t>）</w:t>
      </w:r>
    </w:p>
    <w:p>
      <w:pPr>
        <w:pStyle w:val="2"/>
        <w:keepNext w:val="0"/>
        <w:keepLines w:val="0"/>
        <w:pageBreakBefore w:val="0"/>
        <w:kinsoku/>
        <w:overflowPunct/>
        <w:topLinePunct w:val="0"/>
        <w:bidi w:val="0"/>
        <w:snapToGrid/>
        <w:spacing w:line="560" w:lineRule="exact"/>
        <w:rPr>
          <w:rFonts w:hint="eastAsia" w:ascii="仿宋_GB2312" w:hAnsi="仿宋_GB2312" w:eastAsia="仿宋_GB2312" w:cs="仿宋_GB2312"/>
          <w:sz w:val="32"/>
          <w:szCs w:val="32"/>
        </w:rPr>
      </w:pPr>
    </w:p>
    <w:p>
      <w:pPr>
        <w:pStyle w:val="2"/>
        <w:keepNext w:val="0"/>
        <w:keepLines w:val="0"/>
        <w:pageBreakBefore w:val="0"/>
        <w:kinsoku/>
        <w:overflowPunct/>
        <w:topLinePunct w:val="0"/>
        <w:bidi w:val="0"/>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专利名称：</w:t>
      </w:r>
      <w:r>
        <w:rPr>
          <w:rFonts w:hint="eastAsia" w:ascii="楷体_GB2312" w:hAnsi="楷体_GB2312" w:eastAsia="楷体_GB2312" w:cs="楷体_GB2312"/>
          <w:sz w:val="32"/>
          <w:szCs w:val="32"/>
          <w:u w:val="single"/>
          <w:lang w:val="zh-CN"/>
        </w:rPr>
        <w:t xml:space="preserve"> </w:t>
      </w:r>
      <w:r>
        <w:rPr>
          <w:rFonts w:hint="eastAsia" w:ascii="楷体_GB2312" w:hAnsi="楷体_GB2312" w:eastAsia="楷体_GB2312" w:cs="楷体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single"/>
          <w:lang w:val="en-US" w:eastAsia="zh-CN"/>
        </w:rPr>
      </w:pPr>
      <w:r>
        <w:rPr>
          <w:rFonts w:hint="eastAsia" w:ascii="楷体_GB2312" w:hAnsi="楷体_GB2312" w:eastAsia="楷体_GB2312" w:cs="楷体_GB2312"/>
          <w:sz w:val="32"/>
          <w:szCs w:val="32"/>
          <w:lang w:val="zh-CN"/>
        </w:rPr>
        <w:t>专 利 号：</w:t>
      </w:r>
      <w:r>
        <w:rPr>
          <w:rFonts w:hint="eastAsia" w:ascii="楷体_GB2312" w:hAnsi="楷体_GB2312" w:eastAsia="楷体_GB2312" w:cs="楷体_GB2312"/>
          <w:sz w:val="32"/>
          <w:szCs w:val="32"/>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single"/>
          <w:lang w:val="zh-CN"/>
        </w:rPr>
      </w:pPr>
      <w:r>
        <w:rPr>
          <w:rFonts w:hint="eastAsia" w:ascii="楷体_GB2312" w:hAnsi="楷体_GB2312" w:eastAsia="楷体_GB2312" w:cs="楷体_GB2312"/>
          <w:sz w:val="32"/>
          <w:szCs w:val="32"/>
          <w:lang w:val="zh-CN"/>
        </w:rPr>
        <w:t>申报单位：</w:t>
      </w:r>
      <w:r>
        <w:rPr>
          <w:rFonts w:hint="eastAsia" w:ascii="楷体_GB2312" w:hAnsi="楷体_GB2312" w:eastAsia="楷体_GB2312" w:cs="楷体_GB2312"/>
          <w:sz w:val="32"/>
          <w:szCs w:val="32"/>
          <w:u w:val="single"/>
          <w:lang w:val="en-US" w:eastAsia="zh-CN"/>
        </w:rPr>
        <w:t xml:space="preserve">  </w:t>
      </w:r>
      <w:r>
        <w:rPr>
          <w:rFonts w:hint="eastAsia" w:eastAsia="楷体_GB2312"/>
          <w:sz w:val="28"/>
          <w:szCs w:val="28"/>
          <w:u w:val="single"/>
        </w:rPr>
        <w:t>有多个申报单位的，申报单位之间用顿号隔开</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u w:val="single"/>
          <w:lang w:val="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rPr>
        <w:t>推荐单位：</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lang w:val="zh-CN"/>
        </w:rPr>
        <w:t xml:space="preserve"> </w:t>
      </w:r>
      <w:r>
        <w:rPr>
          <w:rFonts w:hint="eastAsia" w:ascii="楷体_GB2312" w:hAnsi="楷体_GB2312" w:eastAsia="楷体_GB2312" w:cs="楷体_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年    月   日</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烟台市市场监督管理局制</w:t>
      </w:r>
    </w:p>
    <w:p>
      <w:pPr>
        <w:bidi w:val="0"/>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申报项目基本信息</w:t>
      </w:r>
    </w:p>
    <w:tbl>
      <w:tblPr>
        <w:tblStyle w:val="10"/>
        <w:tblW w:w="8522" w:type="dxa"/>
        <w:tblInd w:w="0" w:type="dxa"/>
        <w:tblLayout w:type="fixed"/>
        <w:tblCellMar>
          <w:top w:w="0" w:type="dxa"/>
          <w:left w:w="108" w:type="dxa"/>
          <w:bottom w:w="0" w:type="dxa"/>
          <w:right w:w="108" w:type="dxa"/>
        </w:tblCellMar>
      </w:tblPr>
      <w:tblGrid>
        <w:gridCol w:w="2206"/>
        <w:gridCol w:w="1920"/>
        <w:gridCol w:w="2199"/>
        <w:gridCol w:w="2197"/>
      </w:tblGrid>
      <w:tr>
        <w:tblPrEx>
          <w:tblCellMar>
            <w:top w:w="0" w:type="dxa"/>
            <w:left w:w="108" w:type="dxa"/>
            <w:bottom w:w="0" w:type="dxa"/>
            <w:right w:w="108" w:type="dxa"/>
          </w:tblCellMar>
        </w:tblPrEx>
        <w:trPr>
          <w:trHeight w:val="375" w:hRule="atLeast"/>
        </w:trPr>
        <w:tc>
          <w:tcPr>
            <w:tcW w:w="2206"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专利号</w:t>
            </w:r>
          </w:p>
        </w:tc>
        <w:tc>
          <w:tcPr>
            <w:tcW w:w="631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专利名称</w:t>
            </w:r>
          </w:p>
        </w:tc>
        <w:tc>
          <w:tcPr>
            <w:tcW w:w="631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专利权人</w:t>
            </w:r>
          </w:p>
        </w:tc>
        <w:tc>
          <w:tcPr>
            <w:tcW w:w="631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发明人/设计人</w:t>
            </w:r>
          </w:p>
        </w:tc>
        <w:tc>
          <w:tcPr>
            <w:tcW w:w="631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IPC主分类号</w:t>
            </w:r>
            <w:r>
              <w:rPr>
                <w:rStyle w:val="14"/>
                <w:rFonts w:ascii="仿宋_GB2312" w:eastAsia="仿宋_GB2312"/>
                <w:sz w:val="24"/>
              </w:rPr>
              <w:footnoteReference w:id="0"/>
            </w:r>
          </w:p>
        </w:tc>
        <w:tc>
          <w:tcPr>
            <w:tcW w:w="6316" w:type="dxa"/>
            <w:gridSpan w:val="3"/>
            <w:tcBorders>
              <w:top w:val="single" w:color="auto" w:sz="8" w:space="0"/>
              <w:left w:val="nil"/>
              <w:bottom w:val="single" w:color="auto" w:sz="4" w:space="0"/>
              <w:right w:val="single" w:color="000000" w:sz="8" w:space="0"/>
            </w:tcBorders>
            <w:vAlign w:val="center"/>
          </w:tcPr>
          <w:p>
            <w:pPr>
              <w:widowControl/>
              <w:jc w:val="center"/>
              <w:rPr>
                <w:rFonts w:hint="eastAsia" w:ascii="仿宋_GB2312" w:hAnsi="宋体" w:eastAsia="仿宋_GB2312" w:cs="宋体"/>
                <w:kern w:val="0"/>
                <w:sz w:val="28"/>
                <w:szCs w:val="28"/>
                <w:lang w:eastAsia="zh-CN"/>
              </w:rPr>
            </w:pPr>
            <w:r>
              <w:rPr>
                <w:rFonts w:hint="eastAsia" w:ascii="仿宋_GB2312" w:hAnsi="宋体" w:eastAsia="仿宋_GB2312" w:cs="宋体"/>
                <w:strike w:val="0"/>
                <w:dstrike w:val="0"/>
                <w:kern w:val="0"/>
                <w:sz w:val="28"/>
                <w:szCs w:val="28"/>
                <w:lang w:eastAsia="zh-CN"/>
              </w:rPr>
              <w:t>发明、实用新型填写</w:t>
            </w:r>
          </w:p>
        </w:tc>
      </w:tr>
      <w:tr>
        <w:tblPrEx>
          <w:tblCellMar>
            <w:top w:w="0" w:type="dxa"/>
            <w:left w:w="108" w:type="dxa"/>
            <w:bottom w:w="0" w:type="dxa"/>
            <w:right w:w="108" w:type="dxa"/>
          </w:tblCellMar>
        </w:tblPrEx>
        <w:trPr>
          <w:trHeight w:val="723"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通讯地址/邮编</w:t>
            </w:r>
          </w:p>
        </w:tc>
        <w:tc>
          <w:tcPr>
            <w:tcW w:w="631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联系人</w:t>
            </w:r>
            <w:r>
              <w:rPr>
                <w:rFonts w:hint="eastAsia" w:ascii="仿宋_GB2312" w:hAnsi="仿宋_GB2312" w:eastAsia="仿宋_GB2312" w:cs="仿宋_GB2312"/>
                <w:b/>
                <w:bCs/>
                <w:i w:val="0"/>
                <w:color w:val="000000"/>
                <w:kern w:val="0"/>
                <w:sz w:val="28"/>
                <w:szCs w:val="28"/>
                <w:u w:val="none"/>
                <w:vertAlign w:val="superscript"/>
                <w:lang w:val="en-US" w:eastAsia="zh-CN" w:bidi="ar"/>
              </w:rPr>
              <w:t>1</w:t>
            </w:r>
          </w:p>
        </w:tc>
        <w:tc>
          <w:tcPr>
            <w:tcW w:w="192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办公电话</w:t>
            </w:r>
            <w:r>
              <w:rPr>
                <w:rFonts w:hint="eastAsia" w:ascii="仿宋_GB2312" w:hAnsi="仿宋_GB2312" w:eastAsia="仿宋_GB2312" w:cs="仿宋_GB2312"/>
                <w:b/>
                <w:bCs/>
                <w:i w:val="0"/>
                <w:color w:val="000000"/>
                <w:kern w:val="0"/>
                <w:sz w:val="28"/>
                <w:szCs w:val="28"/>
                <w:u w:val="none"/>
                <w:vertAlign w:val="superscript"/>
                <w:lang w:val="en-US" w:eastAsia="zh-CN" w:bidi="ar"/>
              </w:rPr>
              <w:t>1</w:t>
            </w:r>
          </w:p>
        </w:tc>
        <w:tc>
          <w:tcPr>
            <w:tcW w:w="192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联系人</w:t>
            </w:r>
            <w:r>
              <w:rPr>
                <w:rFonts w:hint="eastAsia" w:ascii="仿宋_GB2312" w:hAnsi="仿宋_GB2312" w:eastAsia="仿宋_GB2312" w:cs="仿宋_GB2312"/>
                <w:b/>
                <w:bCs/>
                <w:i w:val="0"/>
                <w:color w:val="000000"/>
                <w:kern w:val="0"/>
                <w:sz w:val="28"/>
                <w:szCs w:val="28"/>
                <w:u w:val="none"/>
                <w:vertAlign w:val="superscript"/>
                <w:lang w:val="en-US" w:eastAsia="zh-CN" w:bidi="ar"/>
              </w:rPr>
              <w:t>2</w:t>
            </w:r>
          </w:p>
        </w:tc>
        <w:tc>
          <w:tcPr>
            <w:tcW w:w="192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nil"/>
              <w:left w:val="single" w:color="auto" w:sz="8" w:space="0"/>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办公电话</w:t>
            </w:r>
            <w:r>
              <w:rPr>
                <w:rFonts w:hint="eastAsia" w:ascii="仿宋_GB2312" w:hAnsi="仿宋_GB2312" w:eastAsia="仿宋_GB2312" w:cs="仿宋_GB2312"/>
                <w:b/>
                <w:bCs/>
                <w:i w:val="0"/>
                <w:color w:val="000000"/>
                <w:kern w:val="0"/>
                <w:sz w:val="28"/>
                <w:szCs w:val="28"/>
                <w:u w:val="none"/>
                <w:vertAlign w:val="superscript"/>
                <w:lang w:val="en-US" w:eastAsia="zh-CN" w:bidi="ar"/>
              </w:rPr>
              <w:t>2</w:t>
            </w:r>
          </w:p>
        </w:tc>
        <w:tc>
          <w:tcPr>
            <w:tcW w:w="192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申报单位</w:t>
            </w:r>
          </w:p>
        </w:tc>
        <w:tc>
          <w:tcPr>
            <w:tcW w:w="6316" w:type="dxa"/>
            <w:gridSpan w:val="3"/>
            <w:tcBorders>
              <w:top w:val="single" w:color="auto" w:sz="8" w:space="0"/>
              <w:left w:val="single" w:color="auto" w:sz="8" w:space="0"/>
              <w:bottom w:val="single" w:color="auto" w:sz="8"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220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推荐单位</w:t>
            </w:r>
          </w:p>
        </w:tc>
        <w:tc>
          <w:tcPr>
            <w:tcW w:w="6316" w:type="dxa"/>
            <w:gridSpan w:val="3"/>
            <w:tcBorders>
              <w:top w:val="single" w:color="auto" w:sz="8" w:space="0"/>
              <w:left w:val="single" w:color="auto" w:sz="8" w:space="0"/>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Pr>
        <w:pStyle w:val="2"/>
        <w:numPr>
          <w:ilvl w:val="0"/>
          <w:numId w:val="0"/>
        </w:numPr>
        <w:rPr>
          <w:rFonts w:hint="eastAsia"/>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二、专利质量评价材料</w:t>
      </w:r>
    </w:p>
    <w:p>
      <w:pPr>
        <w:pStyle w:val="2"/>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（本表格适用于发明/实用新型专利）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atLeast"/>
        </w:trPr>
        <w:tc>
          <w:tcPr>
            <w:tcW w:w="8522" w:type="dxa"/>
          </w:tcPr>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_GB2312" w:eastAsia="仿宋_GB2312"/>
                <w:sz w:val="24"/>
              </w:rPr>
            </w:pPr>
            <w:r>
              <w:rPr>
                <w:rFonts w:hint="eastAsia" w:ascii="仿宋_GB2312" w:eastAsia="仿宋_GB2312"/>
                <w:b/>
                <w:sz w:val="24"/>
              </w:rPr>
              <w:t>评价“三性”和“文本质量”,说明参评专利质量的优秀程度</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ascii="仿宋_GB2312" w:eastAsia="仿宋_GB2312"/>
                <w:sz w:val="24"/>
              </w:rPr>
            </w:pPr>
            <w:r>
              <w:rPr>
                <w:rFonts w:hint="eastAsia" w:ascii="仿宋_GB2312" w:eastAsia="仿宋_GB2312"/>
                <w:sz w:val="24"/>
              </w:rPr>
              <w:t>2.权利要求书清楚、简要。</w:t>
            </w:r>
          </w:p>
          <w:p>
            <w:pPr>
              <w:keepNext w:val="0"/>
              <w:keepLines w:val="0"/>
              <w:pageBreakBefore w:val="0"/>
              <w:widowControl w:val="0"/>
              <w:kinsoku/>
              <w:wordWrap/>
              <w:overflowPunct/>
              <w:topLinePunct w:val="0"/>
              <w:autoSpaceDE/>
              <w:autoSpaceDN/>
              <w:bidi w:val="0"/>
              <w:adjustRightInd/>
              <w:snapToGrid/>
              <w:spacing w:line="480" w:lineRule="exact"/>
              <w:ind w:left="92" w:leftChars="44" w:firstLine="540" w:firstLineChars="225"/>
              <w:textAlignment w:val="auto"/>
              <w:rPr>
                <w:rFonts w:hint="eastAsia" w:ascii="仿宋_GB2312" w:eastAsia="仿宋_GB2312"/>
                <w:sz w:val="24"/>
              </w:rPr>
            </w:pPr>
            <w:r>
              <w:rPr>
                <w:rFonts w:hint="eastAsia" w:ascii="仿宋_GB2312" w:eastAsia="仿宋_GB2312"/>
                <w:sz w:val="24"/>
              </w:rPr>
              <w:t>3.权利要求以说明书为依据，保护范围合理。</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1"/>
                <w:szCs w:val="21"/>
                <w:vertAlign w:val="baseline"/>
                <w:lang w:val="en-US" w:eastAsia="zh-CN"/>
              </w:rPr>
            </w:pPr>
            <w:r>
              <w:rPr>
                <w:rFonts w:hint="eastAsia" w:ascii="仿宋_GB2312" w:eastAsia="仿宋_GB2312"/>
                <w:sz w:val="24"/>
              </w:rPr>
              <w:t>以上材料不超过2500字。</w:t>
            </w:r>
          </w:p>
        </w:tc>
      </w:tr>
    </w:tbl>
    <w:p>
      <w:pPr>
        <w:bidi w:val="0"/>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二、专利质量评价材料</w:t>
      </w:r>
    </w:p>
    <w:p>
      <w:pPr>
        <w:pStyle w:val="2"/>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lang w:val="en-US" w:eastAsia="zh-CN"/>
        </w:rPr>
      </w:pPr>
      <w:r>
        <w:rPr>
          <w:rFonts w:hint="eastAsia" w:ascii="仿宋_GB2312" w:hAnsi="Calibri" w:eastAsia="仿宋_GB2312" w:cs="Times New Roman"/>
          <w:kern w:val="2"/>
          <w:sz w:val="24"/>
          <w:szCs w:val="22"/>
          <w:lang w:val="en-US" w:eastAsia="zh-CN" w:bidi="ar-SA"/>
        </w:rPr>
        <w:t>（本表格适用于</w:t>
      </w:r>
      <w:r>
        <w:rPr>
          <w:rFonts w:hint="eastAsia" w:ascii="仿宋_GB2312" w:eastAsia="仿宋_GB2312" w:cs="Times New Roman"/>
          <w:kern w:val="2"/>
          <w:sz w:val="24"/>
          <w:szCs w:val="22"/>
          <w:lang w:val="en-US" w:eastAsia="zh-CN" w:bidi="ar-SA"/>
        </w:rPr>
        <w:t>外观设计</w:t>
      </w:r>
      <w:r>
        <w:rPr>
          <w:rFonts w:hint="eastAsia" w:ascii="仿宋_GB2312" w:hAnsi="Calibri" w:eastAsia="仿宋_GB2312" w:cs="Times New Roman"/>
          <w:kern w:val="2"/>
          <w:sz w:val="24"/>
          <w:szCs w:val="22"/>
          <w:lang w:val="en-US" w:eastAsia="zh-CN" w:bidi="ar-SA"/>
        </w:rPr>
        <w:t>专利）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黑体" w:hAnsi="黑体" w:eastAsia="黑体" w:cs="黑体"/>
                <w:b w:val="0"/>
                <w:bCs/>
                <w:sz w:val="24"/>
                <w:lang w:eastAsia="zh-CN"/>
              </w:rPr>
            </w:pPr>
            <w:r>
              <w:rPr>
                <w:rFonts w:hint="eastAsia" w:ascii="黑体" w:hAnsi="黑体" w:eastAsia="黑体" w:cs="黑体"/>
                <w:b w:val="0"/>
                <w:bCs/>
                <w:sz w:val="24"/>
                <w:lang w:eastAsia="zh-CN"/>
              </w:rPr>
              <w:t>外观设计专利质量评价：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ascii="仿宋_GB2312" w:eastAsia="仿宋_GB2312"/>
                <w:sz w:val="24"/>
              </w:rPr>
            </w:pPr>
            <w:r>
              <w:rPr>
                <w:rFonts w:hint="eastAsia" w:ascii="仿宋_GB2312" w:eastAsia="仿宋_GB2312"/>
                <w:b/>
                <w:sz w:val="24"/>
              </w:rPr>
              <w:t>（</w:t>
            </w:r>
            <w:r>
              <w:rPr>
                <w:rFonts w:hint="eastAsia" w:ascii="仿宋_GB2312" w:eastAsia="仿宋_GB2312"/>
                <w:b/>
                <w:sz w:val="24"/>
                <w:lang w:eastAsia="zh-CN"/>
              </w:rPr>
              <w:t>一</w:t>
            </w:r>
            <w:r>
              <w:rPr>
                <w:rFonts w:hint="eastAsia" w:ascii="仿宋_GB2312" w:eastAsia="仿宋_GB2312"/>
                <w:b/>
                <w:sz w:val="24"/>
              </w:rPr>
              <w:t>）创新性和工业适用性：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eastAsia="仿宋_GB2312"/>
                <w:sz w:val="24"/>
              </w:rPr>
            </w:pPr>
            <w:r>
              <w:rPr>
                <w:rFonts w:hint="eastAsia" w:ascii="仿宋_GB2312" w:eastAsia="仿宋_GB2312"/>
                <w:sz w:val="24"/>
              </w:rPr>
              <w:t>请说明授权文本中的图片或者照片是否清楚完整。</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1"/>
                <w:szCs w:val="21"/>
                <w:vertAlign w:val="baseline"/>
                <w:lang w:val="en-US" w:eastAsia="zh-CN"/>
              </w:rPr>
            </w:pPr>
            <w:r>
              <w:rPr>
                <w:rFonts w:hint="eastAsia" w:ascii="仿宋_GB2312" w:eastAsia="仿宋_GB2312"/>
                <w:sz w:val="24"/>
              </w:rPr>
              <w:t>以上材料不超过2000字。</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三、技术先进性评价材料</w:t>
      </w:r>
    </w:p>
    <w:p>
      <w:pPr>
        <w:pStyle w:val="2"/>
        <w:keepNext w:val="0"/>
        <w:keepLines w:val="0"/>
        <w:pageBreakBefore w:val="0"/>
        <w:widowControl w:val="0"/>
        <w:kinsoku/>
        <w:wordWrap/>
        <w:overflowPunct/>
        <w:topLinePunct w:val="0"/>
        <w:autoSpaceDE/>
        <w:autoSpaceDN/>
        <w:bidi w:val="0"/>
        <w:adjustRightInd/>
        <w:snapToGrid/>
        <w:spacing w:after="157" w:afterLines="50" w:line="300" w:lineRule="exact"/>
        <w:jc w:val="center"/>
        <w:textAlignment w:val="auto"/>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（本表格适用于发明/实用新型专利）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w:t>
            </w:r>
            <w:r>
              <w:rPr>
                <w:rFonts w:hint="eastAsia" w:ascii="仿宋_GB2312" w:eastAsia="仿宋_GB2312"/>
                <w:sz w:val="24"/>
                <w:lang w:eastAsia="zh-CN"/>
              </w:rPr>
              <w:t>；</w:t>
            </w:r>
            <w:r>
              <w:rPr>
                <w:rFonts w:hint="eastAsia" w:ascii="仿宋_GB2312" w:eastAsia="仿宋_GB2312"/>
                <w:sz w:val="24"/>
              </w:rPr>
              <w:t>2.说明在围绕本单位相关产品或技术布局的系列专利申请中，该参评专利是否属于核心专利。</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w:t>
            </w:r>
            <w:r>
              <w:rPr>
                <w:rFonts w:hint="eastAsia" w:ascii="仿宋_GB2312" w:eastAsia="仿宋_GB2312"/>
                <w:sz w:val="24"/>
                <w:lang w:eastAsia="zh-CN"/>
              </w:rPr>
              <w:t>；</w:t>
            </w:r>
            <w:r>
              <w:rPr>
                <w:rFonts w:hint="eastAsia" w:ascii="仿宋_GB2312" w:eastAsia="仿宋_GB2312"/>
                <w:sz w:val="24"/>
              </w:rPr>
              <w:t>２.结合实施情况，相对于公开的技术方案，说明参评专利技术实施效果的确定性。</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r>
              <w:rPr>
                <w:rFonts w:hint="eastAsia" w:ascii="仿宋_GB2312" w:eastAsia="仿宋_GB2312"/>
                <w:sz w:val="24"/>
              </w:rPr>
              <w:t>以上材料不超过3000字。</w:t>
            </w:r>
            <w:r>
              <w:rPr>
                <w:rFonts w:hint="eastAsia" w:ascii="仿宋_GB2312" w:hAnsi="仿宋_GB2312" w:eastAsia="仿宋_GB2312" w:cs="仿宋_GB2312"/>
                <w:b/>
                <w:bCs/>
                <w:sz w:val="28"/>
                <w:szCs w:val="28"/>
                <w:vertAlign w:val="baseline"/>
                <w:lang w:val="en-US" w:eastAsia="zh-CN"/>
              </w:rPr>
              <w:t xml:space="preserve"> </w:t>
            </w:r>
          </w:p>
        </w:tc>
      </w:tr>
    </w:tbl>
    <w:p>
      <w:pPr>
        <w:bidi w:val="0"/>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三、技术先进性评价材料</w:t>
      </w:r>
    </w:p>
    <w:p>
      <w:pPr>
        <w:pStyle w:val="2"/>
        <w:keepNext w:val="0"/>
        <w:keepLines w:val="0"/>
        <w:pageBreakBefore w:val="0"/>
        <w:widowControl w:val="0"/>
        <w:kinsoku/>
        <w:wordWrap/>
        <w:overflowPunct/>
        <w:topLinePunct w:val="0"/>
        <w:autoSpaceDE/>
        <w:autoSpaceDN/>
        <w:bidi w:val="0"/>
        <w:adjustRightInd/>
        <w:snapToGrid/>
        <w:spacing w:after="157" w:afterLines="50" w:line="300" w:lineRule="exact"/>
        <w:jc w:val="center"/>
        <w:textAlignment w:val="auto"/>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（本表格适用于</w:t>
      </w:r>
      <w:r>
        <w:rPr>
          <w:rFonts w:hint="eastAsia" w:ascii="仿宋_GB2312" w:eastAsia="仿宋_GB2312" w:cs="Times New Roman"/>
          <w:kern w:val="2"/>
          <w:sz w:val="24"/>
          <w:szCs w:val="22"/>
          <w:lang w:val="en-US" w:eastAsia="zh-CN" w:bidi="ar-SA"/>
        </w:rPr>
        <w:t>外观设计</w:t>
      </w:r>
      <w:r>
        <w:rPr>
          <w:rFonts w:hint="eastAsia" w:ascii="仿宋_GB2312" w:hAnsi="Calibri" w:eastAsia="仿宋_GB2312" w:cs="Times New Roman"/>
          <w:kern w:val="2"/>
          <w:sz w:val="24"/>
          <w:szCs w:val="22"/>
          <w:lang w:val="en-US" w:eastAsia="zh-CN" w:bidi="ar-S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522" w:type="dxa"/>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pStyle w:val="2"/>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eastAsia="仿宋_GB2312"/>
                <w:sz w:val="24"/>
              </w:rPr>
            </w:pPr>
            <w:r>
              <w:rPr>
                <w:rFonts w:hint="eastAsia" w:ascii="仿宋_GB2312" w:eastAsia="仿宋_GB2312"/>
                <w:sz w:val="24"/>
              </w:rPr>
              <w:t>以上材料不超过2000字。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eastAsia="仿宋_GB2312"/>
                <w:sz w:val="24"/>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1"/>
          <w:szCs w:val="21"/>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四、运用及保护措施和成效评价材料（一）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hint="eastAsia"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w:t>
            </w:r>
            <w:r>
              <w:rPr>
                <w:rFonts w:hint="eastAsia" w:eastAsia="仿宋_GB2312"/>
                <w:sz w:val="24"/>
                <w:lang w:val="en-US" w:eastAsia="zh-CN"/>
              </w:rPr>
              <w:t>/设计人</w:t>
            </w:r>
            <w:r>
              <w:rPr>
                <w:rFonts w:hint="eastAsia" w:eastAsia="仿宋_GB2312"/>
                <w:sz w:val="24"/>
              </w:rPr>
              <w:t>在促进本专利实施运用中的贡献，以及对发明人</w:t>
            </w:r>
            <w:r>
              <w:rPr>
                <w:rFonts w:hint="eastAsia" w:eastAsia="仿宋_GB2312"/>
                <w:sz w:val="24"/>
                <w:lang w:val="en-US" w:eastAsia="zh-CN"/>
              </w:rPr>
              <w:t>/设计人</w:t>
            </w:r>
            <w:r>
              <w:rPr>
                <w:rFonts w:hint="eastAsia" w:eastAsia="仿宋_GB2312"/>
                <w:sz w:val="24"/>
              </w:rPr>
              <w:t>所采取的有关激励措施。</w:t>
            </w:r>
          </w:p>
          <w:p>
            <w:pPr>
              <w:pStyle w:val="2"/>
            </w:pP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562" w:firstLineChars="200"/>
              <w:rPr>
                <w:rFonts w:ascii="仿宋_GB2312" w:eastAsia="仿宋_GB2312"/>
                <w:sz w:val="24"/>
              </w:rPr>
            </w:pPr>
            <w:r>
              <w:rPr>
                <w:rFonts w:hint="eastAsia" w:ascii="仿宋_GB2312" w:hAnsi="仿宋_GB2312" w:eastAsia="仿宋_GB2312" w:cs="仿宋_GB2312"/>
                <w:b/>
                <w:bCs/>
                <w:sz w:val="28"/>
                <w:szCs w:val="28"/>
                <w:vertAlign w:val="baselin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仿宋_GB2312" w:hAnsi="仿宋_GB2312" w:eastAsia="仿宋_GB2312" w:cs="仿宋_GB2312"/>
                <w:b/>
                <w:bCs/>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1"/>
          <w:szCs w:val="21"/>
          <w:lang w:val="en-US" w:eastAsia="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运用及保护措施和成效评价材料（二）</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832"/>
        <w:gridCol w:w="1247"/>
        <w:gridCol w:w="1067"/>
        <w:gridCol w:w="651"/>
        <w:gridCol w:w="123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5000" w:type="pct"/>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000" w:type="pct"/>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4" w:type="pct"/>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1736" w:type="pct"/>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19年底</w:t>
            </w:r>
          </w:p>
        </w:tc>
        <w:tc>
          <w:tcPr>
            <w:tcW w:w="1819" w:type="pct"/>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2018年初至2019年底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4" w:type="pct"/>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1736" w:type="pct"/>
            <w:gridSpan w:val="3"/>
            <w:vAlign w:val="center"/>
          </w:tcPr>
          <w:p>
            <w:pPr>
              <w:spacing w:line="400" w:lineRule="exact"/>
              <w:jc w:val="center"/>
              <w:rPr>
                <w:rFonts w:ascii="仿宋_GB2312" w:eastAsia="仿宋_GB2312"/>
                <w:sz w:val="24"/>
              </w:rPr>
            </w:pPr>
          </w:p>
        </w:tc>
        <w:tc>
          <w:tcPr>
            <w:tcW w:w="1819" w:type="pct"/>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4" w:type="pct"/>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1736" w:type="pct"/>
            <w:gridSpan w:val="3"/>
            <w:vAlign w:val="center"/>
          </w:tcPr>
          <w:p>
            <w:pPr>
              <w:spacing w:line="400" w:lineRule="exact"/>
              <w:jc w:val="center"/>
              <w:rPr>
                <w:rFonts w:ascii="仿宋_GB2312" w:eastAsia="仿宋_GB2312"/>
                <w:sz w:val="24"/>
              </w:rPr>
            </w:pPr>
          </w:p>
        </w:tc>
        <w:tc>
          <w:tcPr>
            <w:tcW w:w="1819" w:type="pct"/>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1444" w:type="pct"/>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1736" w:type="pct"/>
            <w:gridSpan w:val="3"/>
            <w:vAlign w:val="center"/>
          </w:tcPr>
          <w:p>
            <w:pPr>
              <w:spacing w:line="400" w:lineRule="exact"/>
              <w:jc w:val="center"/>
              <w:rPr>
                <w:rFonts w:ascii="仿宋_GB2312" w:eastAsia="仿宋_GB2312"/>
                <w:sz w:val="24"/>
              </w:rPr>
            </w:pPr>
          </w:p>
        </w:tc>
        <w:tc>
          <w:tcPr>
            <w:tcW w:w="1819" w:type="pct"/>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1444" w:type="pct"/>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1736" w:type="pct"/>
            <w:gridSpan w:val="3"/>
            <w:vAlign w:val="center"/>
          </w:tcPr>
          <w:p>
            <w:pPr>
              <w:spacing w:line="400" w:lineRule="exact"/>
              <w:jc w:val="center"/>
              <w:rPr>
                <w:rFonts w:ascii="仿宋_GB2312" w:eastAsia="仿宋_GB2312"/>
                <w:sz w:val="24"/>
              </w:rPr>
            </w:pPr>
          </w:p>
        </w:tc>
        <w:tc>
          <w:tcPr>
            <w:tcW w:w="1819" w:type="pct"/>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5000" w:type="pct"/>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688" w:type="pct"/>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948" w:type="pct"/>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19年底许可收入（万元）</w:t>
            </w:r>
          </w:p>
        </w:tc>
        <w:tc>
          <w:tcPr>
            <w:tcW w:w="679" w:type="pct"/>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14"/>
                <w:rFonts w:ascii="仿宋_GB2312" w:eastAsia="仿宋_GB2312"/>
                <w:sz w:val="24"/>
              </w:rPr>
              <w:footnoteReference w:id="1"/>
            </w:r>
          </w:p>
        </w:tc>
        <w:tc>
          <w:tcPr>
            <w:tcW w:w="780" w:type="pct"/>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sz w:val="24"/>
              </w:rPr>
            </w:pP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sz w:val="24"/>
              </w:rPr>
            </w:pP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sz w:val="24"/>
              </w:rPr>
            </w:pP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sz w:val="24"/>
              </w:rPr>
            </w:pP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sz w:val="24"/>
              </w:rPr>
            </w:pP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03" w:type="pct"/>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688" w:type="pct"/>
            <w:vAlign w:val="center"/>
          </w:tcPr>
          <w:p>
            <w:pPr>
              <w:spacing w:line="400" w:lineRule="exact"/>
              <w:jc w:val="center"/>
              <w:rPr>
                <w:rFonts w:ascii="仿宋_GB2312" w:eastAsia="仿宋_GB2312"/>
                <w:sz w:val="24"/>
              </w:rPr>
            </w:pPr>
          </w:p>
        </w:tc>
        <w:tc>
          <w:tcPr>
            <w:tcW w:w="948" w:type="pct"/>
            <w:gridSpan w:val="2"/>
            <w:vAlign w:val="center"/>
          </w:tcPr>
          <w:p>
            <w:pPr>
              <w:spacing w:line="400" w:lineRule="exact"/>
              <w:jc w:val="center"/>
              <w:rPr>
                <w:rFonts w:ascii="仿宋_GB2312" w:eastAsia="仿宋_GB2312"/>
                <w:sz w:val="24"/>
              </w:rPr>
            </w:pPr>
          </w:p>
        </w:tc>
        <w:tc>
          <w:tcPr>
            <w:tcW w:w="679" w:type="pct"/>
            <w:vAlign w:val="center"/>
          </w:tcPr>
          <w:p>
            <w:pPr>
              <w:spacing w:line="400" w:lineRule="exact"/>
              <w:jc w:val="center"/>
              <w:rPr>
                <w:rFonts w:ascii="仿宋_GB2312" w:eastAsia="仿宋_GB2312"/>
                <w:sz w:val="24"/>
              </w:rPr>
            </w:pPr>
          </w:p>
        </w:tc>
        <w:tc>
          <w:tcPr>
            <w:tcW w:w="780" w:type="pct"/>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2408" w:type="pct"/>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00" w:type="pct"/>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2408" w:type="pct"/>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p>
        </w:tc>
        <w:tc>
          <w:tcPr>
            <w:tcW w:w="2408" w:type="pct"/>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91" w:type="pct"/>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2408" w:type="pct"/>
            <w:gridSpan w:val="4"/>
            <w:vAlign w:val="center"/>
          </w:tcPr>
          <w:p>
            <w:pPr>
              <w:spacing w:line="400" w:lineRule="exact"/>
              <w:jc w:val="center"/>
              <w:rPr>
                <w:rFonts w:ascii="仿宋_GB2312" w:eastAsia="仿宋_GB2312"/>
                <w:sz w:val="24"/>
              </w:rPr>
            </w:pPr>
          </w:p>
        </w:tc>
      </w:tr>
    </w:tbl>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sz w:val="21"/>
          <w:szCs w:val="21"/>
          <w:lang w:val="en-US" w:eastAsia="zh-CN"/>
        </w:rPr>
        <w:sectPr>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五、社会效益及发展前景评价材料</w:t>
      </w:r>
    </w:p>
    <w:p>
      <w:pPr>
        <w:pStyle w:val="2"/>
        <w:bidi w:val="0"/>
        <w:jc w:val="center"/>
        <w:rPr>
          <w:rFonts w:hint="eastAsia"/>
          <w:lang w:val="en-US" w:eastAsia="zh-CN"/>
        </w:rPr>
      </w:pPr>
      <w:r>
        <w:rPr>
          <w:rFonts w:hint="eastAsia" w:ascii="仿宋_GB2312" w:hAnsi="Calibri" w:eastAsia="仿宋_GB2312" w:cs="Times New Roman"/>
          <w:kern w:val="2"/>
          <w:sz w:val="24"/>
          <w:szCs w:val="22"/>
          <w:lang w:val="en-US" w:eastAsia="zh-CN" w:bidi="ar-SA"/>
        </w:rPr>
        <w:t>（本表格适用于发明/实用新型专利）</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tcPr>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eastAsia="仿宋_GB2312"/>
                <w:sz w:val="24"/>
              </w:rPr>
            </w:pPr>
            <w:r>
              <w:rPr>
                <w:rFonts w:hint="eastAsia" w:ascii="仿宋_GB2312" w:eastAsia="仿宋_GB2312"/>
                <w:b/>
                <w:bCs/>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eastAsia="仿宋_GB2312"/>
                <w:sz w:val="24"/>
              </w:rPr>
            </w:pPr>
            <w:r>
              <w:rPr>
                <w:rFonts w:hint="eastAsia" w:ascii="仿宋_GB2312" w:eastAsia="仿宋_GB2312"/>
                <w:b/>
                <w:bCs/>
                <w:sz w:val="24"/>
              </w:rPr>
              <w:t>（二）行业影响力状况：</w:t>
            </w:r>
            <w:r>
              <w:rPr>
                <w:rFonts w:hint="eastAsia" w:ascii="仿宋_GB2312" w:eastAsia="仿宋_GB2312"/>
                <w:sz w:val="24"/>
              </w:rPr>
              <w:t>详细说明参评项目实施对行业发展及技术趋势的影响。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eastAsia="仿宋_GB2312"/>
                <w:sz w:val="24"/>
              </w:rPr>
            </w:pPr>
            <w:r>
              <w:rPr>
                <w:rFonts w:hint="eastAsia" w:ascii="仿宋_GB2312" w:eastAsia="仿宋_GB2312"/>
                <w:b/>
                <w:bCs/>
                <w:sz w:val="24"/>
              </w:rPr>
              <w:t>（三）政策适应性：</w:t>
            </w:r>
            <w:r>
              <w:rPr>
                <w:rFonts w:hint="eastAsia" w:ascii="仿宋_GB2312" w:eastAsia="仿宋_GB2312"/>
                <w:sz w:val="24"/>
              </w:rPr>
              <w:t>详细说明参评项目属于国家政策明确鼓励、支持的，还是限制、禁止类别，或无明确导向，并具体说明原因。</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eastAsia="仿宋_GB2312"/>
                <w:sz w:val="24"/>
                <w:lang w:val="en-US" w:eastAsia="zh-CN"/>
              </w:rPr>
            </w:pPr>
            <w:r>
              <w:rPr>
                <w:rFonts w:hint="eastAsia" w:ascii="仿宋_GB2312" w:eastAsia="仿宋_GB2312"/>
                <w:sz w:val="24"/>
              </w:rPr>
              <w:t>以上材料2500字以内。</w:t>
            </w: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五、社会效益及发展前景评价材料</w:t>
      </w:r>
    </w:p>
    <w:p>
      <w:pPr>
        <w:pStyle w:val="2"/>
        <w:bidi w:val="0"/>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（本表格适用于外观设计专利）</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5000" w:type="pct"/>
          </w:tcPr>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vertAlign w:val="baseline"/>
                <w:lang w:val="en-US" w:eastAsia="zh-CN"/>
              </w:rPr>
            </w:pPr>
            <w:r>
              <w:rPr>
                <w:rFonts w:hint="eastAsia" w:ascii="仿宋_GB2312" w:eastAsia="仿宋_GB2312"/>
                <w:sz w:val="24"/>
              </w:rPr>
              <w:t>以上材料3000字以内。</w:t>
            </w: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六、获奖情况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5000" w:type="pct"/>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pStyle w:val="2"/>
              <w:keepNext w:val="0"/>
              <w:keepLines w:val="0"/>
              <w:pageBreakBefore w:val="0"/>
              <w:kinsoku/>
              <w:overflowPunct/>
              <w:topLinePunct w:val="0"/>
              <w:bidi w:val="0"/>
              <w:snapToGrid/>
              <w:spacing w:line="560" w:lineRule="exact"/>
              <w:rPr>
                <w:rFonts w:hint="eastAsia"/>
                <w:vertAlign w:val="baseline"/>
                <w:lang w:val="en-US" w:eastAsia="zh-CN"/>
              </w:rPr>
            </w:pPr>
          </w:p>
        </w:tc>
      </w:tr>
    </w:tbl>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2"/>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七、主要附件目录</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7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序号</w:t>
            </w:r>
          </w:p>
        </w:tc>
        <w:tc>
          <w:tcPr>
            <w:tcW w:w="3925"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1</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2</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材料真实性承诺书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3</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专利权有效证明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4</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专利权属无纠纷证明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5</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上年度完税证明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6</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经济效益证明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7</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社会效益证明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8</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企业营业执照副本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74" w:type="pct"/>
            <w:vAlign w:val="center"/>
          </w:tcPr>
          <w:p>
            <w:pPr>
              <w:pStyle w:val="2"/>
              <w:keepNext w:val="0"/>
              <w:keepLines w:val="0"/>
              <w:pageBreakBefore w:val="0"/>
              <w:kinsoku/>
              <w:overflowPunct/>
              <w:topLinePunct w:val="0"/>
              <w:bidi w:val="0"/>
              <w:snapToGrid/>
              <w:spacing w:line="560" w:lineRule="exact"/>
              <w:jc w:val="center"/>
              <w:rPr>
                <w:rFonts w:hint="default" w:ascii="仿宋_GB2312" w:hAnsi="Calibri"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w:t>
            </w:r>
          </w:p>
        </w:tc>
        <w:tc>
          <w:tcPr>
            <w:tcW w:w="3925" w:type="pct"/>
            <w:vAlign w:val="center"/>
          </w:tcPr>
          <w:p>
            <w:pPr>
              <w:pStyle w:val="2"/>
              <w:keepNext w:val="0"/>
              <w:keepLines w:val="0"/>
              <w:pageBreakBefore w:val="0"/>
              <w:kinsoku/>
              <w:overflowPunct/>
              <w:topLinePunct w:val="0"/>
              <w:bidi w:val="0"/>
              <w:snapToGrid/>
              <w:spacing w:line="560" w:lineRule="exact"/>
              <w:jc w:val="center"/>
              <w:rPr>
                <w:rFonts w:hint="default" w:ascii="仿宋_GB2312" w:eastAsia="仿宋_GB2312" w:cs="Times New Roman"/>
                <w:kern w:val="2"/>
                <w:sz w:val="24"/>
                <w:szCs w:val="22"/>
                <w:lang w:val="en-US" w:eastAsia="zh-CN" w:bidi="ar-SA"/>
              </w:rPr>
            </w:pPr>
            <w:r>
              <w:rPr>
                <w:rFonts w:hint="eastAsia" w:ascii="仿宋_GB2312" w:eastAsia="仿宋_GB2312" w:cs="Times New Roman"/>
                <w:kern w:val="2"/>
                <w:sz w:val="24"/>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000" w:type="pct"/>
            <w:gridSpan w:val="2"/>
            <w:vAlign w:val="center"/>
          </w:tcPr>
          <w:p>
            <w:pPr>
              <w:pStyle w:val="2"/>
              <w:keepNext w:val="0"/>
              <w:keepLines w:val="0"/>
              <w:pageBreakBefore w:val="0"/>
              <w:kinsoku/>
              <w:overflowPunct/>
              <w:topLinePunct w:val="0"/>
              <w:bidi w:val="0"/>
              <w:snapToGrid/>
              <w:spacing w:line="560" w:lineRule="exact"/>
              <w:jc w:val="left"/>
              <w:rPr>
                <w:rFonts w:hint="eastAsia" w:ascii="仿宋_GB2312" w:eastAsia="仿宋_GB2312" w:cs="Times New Roman"/>
                <w:kern w:val="2"/>
                <w:sz w:val="24"/>
                <w:szCs w:val="22"/>
                <w:lang w:val="en-US" w:eastAsia="zh-CN" w:bidi="ar-SA"/>
              </w:rPr>
            </w:pPr>
            <w:r>
              <w:rPr>
                <w:rFonts w:hint="eastAsia" w:ascii="仿宋_GB2312" w:eastAsia="仿宋_GB2312"/>
                <w:sz w:val="24"/>
              </w:rPr>
              <w:t>列出</w:t>
            </w:r>
            <w:r>
              <w:rPr>
                <w:rFonts w:hint="eastAsia" w:ascii="仿宋_GB2312" w:eastAsia="仿宋_GB2312"/>
                <w:sz w:val="24"/>
                <w:lang w:eastAsia="zh-CN"/>
              </w:rPr>
              <w:t>主要附件目录，</w:t>
            </w:r>
            <w:r>
              <w:rPr>
                <w:rFonts w:hint="eastAsia" w:ascii="仿宋_GB2312" w:eastAsia="仿宋_GB2312"/>
                <w:sz w:val="24"/>
                <w:lang w:val="en-US" w:eastAsia="zh-CN"/>
              </w:rPr>
              <w:t>可根据自身实际情况增加或删减。</w:t>
            </w:r>
          </w:p>
        </w:tc>
      </w:tr>
    </w:tbl>
    <w:p>
      <w:pPr>
        <w:pStyle w:val="2"/>
        <w:keepNext w:val="0"/>
        <w:keepLines w:val="0"/>
        <w:pageBreakBefore w:val="0"/>
        <w:widowControl w:val="0"/>
        <w:kinsoku/>
        <w:wordWrap/>
        <w:overflowPunct/>
        <w:topLinePunct w:val="0"/>
        <w:autoSpaceDE/>
        <w:autoSpaceDN/>
        <w:bidi w:val="0"/>
        <w:adjustRightInd/>
        <w:snapToGrid/>
        <w:spacing w:after="240" w:line="560" w:lineRule="exact"/>
        <w:textAlignment w:val="auto"/>
        <w:rPr>
          <w:rFonts w:hint="eastAsia" w:ascii="仿宋_GB2312" w:eastAsia="仿宋_GB2312"/>
          <w:kern w:val="0"/>
          <w:sz w:val="32"/>
          <w:szCs w:val="32"/>
        </w:rPr>
        <w:sectPr>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ascii="仿宋_GB2312" w:eastAsia="仿宋_GB2312"/>
          <w:b/>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2"/>
        <w:rPr>
          <w:rFonts w:ascii="宋体" w:hAnsi="宋体"/>
          <w:b/>
          <w:sz w:val="44"/>
          <w:szCs w:val="44"/>
        </w:rPr>
      </w:pPr>
      <w:r>
        <w:rPr>
          <w:rFonts w:hint="eastAsia" w:ascii="方正小标宋简体" w:hAnsi="方正小标宋简体" w:eastAsia="方正小标宋简体" w:cs="方正小标宋简体"/>
          <w:bCs/>
          <w:sz w:val="44"/>
          <w:szCs w:val="44"/>
          <w:lang w:val="en-US" w:eastAsia="zh-CN"/>
        </w:rPr>
        <w:t>2021年度</w:t>
      </w:r>
      <w:r>
        <w:rPr>
          <w:rFonts w:hint="eastAsia" w:ascii="方正小标宋简体" w:hAnsi="方正小标宋简体" w:eastAsia="方正小标宋简体" w:cs="方正小标宋简体"/>
          <w:bCs/>
          <w:sz w:val="44"/>
          <w:szCs w:val="44"/>
        </w:rPr>
        <w:t>烟台市专利奖项目汇总表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96"/>
        <w:gridCol w:w="1596"/>
        <w:gridCol w:w="1598"/>
        <w:gridCol w:w="1598"/>
        <w:gridCol w:w="1598"/>
        <w:gridCol w:w="1598"/>
        <w:gridCol w:w="1598"/>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专利名称</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专利号</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发明人</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推荐单位</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专利权人</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分类号</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审查结果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
        <w:rPr>
          <w:rFonts w:hint="eastAsia"/>
        </w:rPr>
        <w:sectPr>
          <w:pgSz w:w="16838" w:h="11906" w:orient="landscape"/>
          <w:pgMar w:top="1587" w:right="2098" w:bottom="1474" w:left="1984"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wordWrap w:val="0"/>
        <w:autoSpaceDE w:val="0"/>
        <w:autoSpaceDN w:val="0"/>
        <w:adjustRightInd w:val="0"/>
        <w:spacing w:line="560" w:lineRule="exact"/>
        <w:jc w:val="both"/>
        <w:rPr>
          <w:rFonts w:hint="eastAsia"/>
          <w:lang w:val="en-US" w:eastAsia="zh-CN"/>
        </w:rPr>
      </w:pPr>
    </w:p>
    <w:sectPr>
      <w:pgSz w:w="11906" w:h="16838"/>
      <w:pgMar w:top="2098" w:right="1474" w:bottom="1984" w:left="1587" w:header="851" w:footer="992"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212"/>
        <w:tab w:val="left" w:pos="504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RXPK8BAABL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O/UOK4xRHtH/7sH5/3T7/JeW5PH2KNWbcB89LwzQ845tEf0ZlVDwps/qIe&#10;gnFs9O7UXDkkIvKj+Ww+rzAkMDZeEJ+9Pg8Q03fpLclGQwGnV5rKtzcxHVLHlFzN+SttTJmgce8c&#10;iJk9LHM/cMxWGlbDUdDKtzvU0+PgG+pwMykx1w77mndkNGA0VqOxCaDXHVKbFl4xfN0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cRXPK8BAABL&#10;AwAADgAAAAAAAAABACAAAAAeAQAAZHJzL2Uyb0RvYy54bWxQSwUGAAAAAAYABgBZAQAAPwU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76200"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76200" cy="230505"/>
                      </a:xfrm>
                      <a:prstGeom prst="rect">
                        <a:avLst/>
                      </a:prstGeom>
                      <a:noFill/>
                      <a:ln>
                        <a:noFill/>
                      </a:ln>
                    </wps:spPr>
                    <wps:txbx>
                      <w:txbxContent>
                        <w:p>
                          <w:pPr>
                            <w:snapToGrid w:val="0"/>
                            <w:rPr>
                              <w:rFonts w:ascii="宋体" w:hAnsi="宋体" w:cs="宋体"/>
                              <w:sz w:val="28"/>
                              <w:szCs w:val="28"/>
                            </w:rPr>
                          </w:pPr>
                        </w:p>
                      </w:txbxContent>
                    </wps:txbx>
                    <wps:bodyPr lIns="0" tIns="0" rIns="0" bIns="0" upright="1"/>
                  </wps:wsp>
                </a:graphicData>
              </a:graphic>
            </wp:anchor>
          </w:drawing>
        </mc:Choice>
        <mc:Fallback>
          <w:pict>
            <v:shape id="文本框 4" o:spid="_x0000_s1026" o:spt="202" type="#_x0000_t202" style="position:absolute;left:0pt;margin-top:0.05pt;height:18.15pt;width:6pt;mso-position-horizontal:center;mso-position-horizontal-relative:margin;z-index:251659264;mso-width-relative:page;mso-height-relative:page;" filled="f" stroked="f" coordsize="21600,21600" o:gfxdata="UEsDBAoAAAAAAIdO4kAAAAAAAAAAAAAAAAAEAAAAZHJzL1BLAwQUAAAACACHTuJAUAm1j9EAAAAD&#10;AQAADwAAAGRycy9kb3ducmV2LnhtbE2PzU7DMBCE70i8g7VI3KjdgiIIcSqE4IRUkYYDRyfeJlbj&#10;dYjdv7dnc4Lj7KxmvinWZz+II07RBdKwXCgQSG2wjjoNX/X73SOImAxZMwRCDReMsC6vrwqT23Ci&#10;Co/b1AkOoZgbDX1KYy5lbHv0Ji7CiMTeLkzeJJZTJ+1kThzuB7lSKpPeOOKG3oz42mO73x68hpdv&#10;qt7cz6b5rHaVq+snRR/ZXuvbm6V6BpHwnP6eYcZndCiZqQkHslEMGnhImq9i9lasGg332QPIspD/&#10;2ctfUEsDBBQAAAAIAIdO4kDy4bvJnQEAACIDAAAOAAAAZHJzL2Uyb0RvYy54bWytUkuOEzEQ3SNx&#10;B8t74p7ADKiVzkhoNAgJAdIMB3DcdtqS7bLKnnTnAnADVmzYc66cg7KTzvDZITbV5arq53rveXU9&#10;ecd2GpOF0PGLRcOZDgp6G7Yd/3R/++wVZynL0EsHQXd8rxO/Xj99shpjq5cwgOs1MgIJqR1jx4ec&#10;YytEUoP2Mi0g6kBNA+hlpiNuRY9yJHTvxLJprsQI2EcEpVOi6s2xydcV3xit8gdjks7MdZx2yzVi&#10;jZsSxXol2y3KOFh1WkP+wxZe2kCXnqFuZJbsAe1fUN4qhAQmLxR4AcZYpSsHYnPR/MHmbpBRVy4k&#10;TopnmdL/g1Xvdx+R2b7jS86C9GTR4euXw7cfh++f2YsizxhTS1N3keby9BomsnmuJyoW1pNBX77E&#10;h1GfhN6fxdVTZoqKL6/IL84UdZbPm8vmsoCIx38jpvxGg2cl6TiSdVVRuXuX8nF0HilXBbi1zlX7&#10;XPitQJilIsrixwVLlqfNdGKzgX5PZNzbQEKWRzEnOCebOXmIaLcDrVMpV0gyou59ejTF6V/P9eLH&#10;p73+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AJtY/RAAAAAwEAAA8AAAAAAAAAAQAgAAAAIgAA&#10;AGRycy9kb3ducmV2LnhtbFBLAQIUABQAAAAIAIdO4kDy4bvJnQEAACIDAAAOAAAAAAAAAAEAIAAA&#10;ACABAABkcnMvZTJvRG9jLnhtbFBLBQYAAAAABgAGAFkBAAAvBQAAAAA=&#10;">
              <v:fill on="f" focussize="0,0"/>
              <v:stroke on="f"/>
              <v:imagedata o:title=""/>
              <o:lock v:ext="edit" aspectratio="f"/>
              <v:textbox inset="0mm,0mm,0mm,0mm">
                <w:txbxContent>
                  <w:p>
                    <w:pPr>
                      <w:snapToGrid w:val="0"/>
                      <w:rPr>
                        <w:rFonts w:ascii="宋体" w:hAnsi="宋体" w:cs="宋体"/>
                        <w:sz w:val="28"/>
                        <w:szCs w:val="2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eAe168BAABLAwAADgAAAGRycy9lMm9Eb2MueG1srVNLbtswEN0X6B0I&#10;7mvKLhI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39TInjFke0f3rc/3rZPz+Qs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eAe168BAABL&#10;AwAADgAAAAAAAAABACAAAAAeAQAAZHJzL2Uyb0RvYy54bWxQSwUGAAAAAAYABgBZAQAAPwUAAAAA&#10;">
              <v:fill on="f" focussize="0,0"/>
              <v:stroke on="f"/>
              <v:imagedata o:title=""/>
              <o:lock v:ext="edit" aspectratio="f"/>
              <v:textbox inset="0mm,0mm,0mm,0mm" style="mso-fit-shape-to-text:t;">
                <w:txbxContent>
                  <w:p>
                    <w:pPr>
                      <w:snapToGrid w:val="0"/>
                      <w:rPr>
                        <w:rFonts w:ascii="宋体" w:hAnsi="宋体" w:cs="宋体"/>
                        <w:sz w:val="28"/>
                        <w:szCs w:val="28"/>
                      </w:rPr>
                    </w:pP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pPr>
      <w:r>
        <w:rPr>
          <w:rStyle w:val="14"/>
        </w:rPr>
        <w:footnoteRef/>
      </w:r>
      <w:r>
        <w:t xml:space="preserve"> </w:t>
      </w:r>
      <w:r>
        <w:rPr>
          <w:rFonts w:hint="eastAsia"/>
          <w:lang w:val="en-US" w:eastAsia="zh-CN"/>
        </w:rPr>
        <w:t>IPC 主分类号可通过国家知识产权局网站查询</w:t>
      </w:r>
      <w:r>
        <w:rPr>
          <w:rFonts w:hint="eastAsia"/>
        </w:rPr>
        <w:t>。</w:t>
      </w:r>
    </w:p>
  </w:footnote>
  <w:footnote w:id="1">
    <w:p>
      <w:pPr>
        <w:pStyle w:val="9"/>
      </w:pPr>
      <w:r>
        <w:rPr>
          <w:rStyle w:val="14"/>
        </w:rPr>
        <w:footnoteRef/>
      </w:r>
      <w:r>
        <w:t xml:space="preserve"> </w:t>
      </w:r>
      <w:r>
        <w:rPr>
          <w:rFonts w:hint="eastAsia"/>
        </w:rPr>
        <w:t>许可种类填写独占许可、排他许可、普通许可等。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1C1FB"/>
    <w:multiLevelType w:val="singleLevel"/>
    <w:tmpl w:val="58D1C1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4A"/>
    <w:rsid w:val="000116CD"/>
    <w:rsid w:val="0001629A"/>
    <w:rsid w:val="000358B6"/>
    <w:rsid w:val="000541A2"/>
    <w:rsid w:val="0007635A"/>
    <w:rsid w:val="000C0349"/>
    <w:rsid w:val="000E550D"/>
    <w:rsid w:val="0014095C"/>
    <w:rsid w:val="001455BA"/>
    <w:rsid w:val="00172409"/>
    <w:rsid w:val="00180609"/>
    <w:rsid w:val="00181FF6"/>
    <w:rsid w:val="001B0FB8"/>
    <w:rsid w:val="001C5E00"/>
    <w:rsid w:val="002056ED"/>
    <w:rsid w:val="00230F4A"/>
    <w:rsid w:val="00235A17"/>
    <w:rsid w:val="00237F49"/>
    <w:rsid w:val="00253FC2"/>
    <w:rsid w:val="002616EC"/>
    <w:rsid w:val="002617A4"/>
    <w:rsid w:val="002668A9"/>
    <w:rsid w:val="00296A21"/>
    <w:rsid w:val="002C3107"/>
    <w:rsid w:val="002F2C39"/>
    <w:rsid w:val="002F7029"/>
    <w:rsid w:val="00301191"/>
    <w:rsid w:val="003031F6"/>
    <w:rsid w:val="0031615B"/>
    <w:rsid w:val="00333CDB"/>
    <w:rsid w:val="00337CC5"/>
    <w:rsid w:val="00340176"/>
    <w:rsid w:val="00367E03"/>
    <w:rsid w:val="003942C1"/>
    <w:rsid w:val="003A430B"/>
    <w:rsid w:val="004044CE"/>
    <w:rsid w:val="00413949"/>
    <w:rsid w:val="00426755"/>
    <w:rsid w:val="00453519"/>
    <w:rsid w:val="00453B93"/>
    <w:rsid w:val="00474D98"/>
    <w:rsid w:val="004B5AE4"/>
    <w:rsid w:val="004B6728"/>
    <w:rsid w:val="004D74A5"/>
    <w:rsid w:val="004E6484"/>
    <w:rsid w:val="004E7404"/>
    <w:rsid w:val="004F2ED7"/>
    <w:rsid w:val="00513612"/>
    <w:rsid w:val="005171F5"/>
    <w:rsid w:val="00537CFA"/>
    <w:rsid w:val="005417FD"/>
    <w:rsid w:val="005612AF"/>
    <w:rsid w:val="00562644"/>
    <w:rsid w:val="00565424"/>
    <w:rsid w:val="005849B0"/>
    <w:rsid w:val="005C053E"/>
    <w:rsid w:val="005C6FFE"/>
    <w:rsid w:val="005D6A9A"/>
    <w:rsid w:val="00621BB5"/>
    <w:rsid w:val="00671D24"/>
    <w:rsid w:val="00696AD9"/>
    <w:rsid w:val="006A5247"/>
    <w:rsid w:val="006E4ED2"/>
    <w:rsid w:val="00702538"/>
    <w:rsid w:val="00750097"/>
    <w:rsid w:val="00762413"/>
    <w:rsid w:val="0076733B"/>
    <w:rsid w:val="007B0F25"/>
    <w:rsid w:val="007B49CF"/>
    <w:rsid w:val="007E039A"/>
    <w:rsid w:val="007F4075"/>
    <w:rsid w:val="00801DFC"/>
    <w:rsid w:val="00830E4A"/>
    <w:rsid w:val="00846F86"/>
    <w:rsid w:val="00876AD3"/>
    <w:rsid w:val="008A0622"/>
    <w:rsid w:val="008B7E06"/>
    <w:rsid w:val="008E2187"/>
    <w:rsid w:val="009174FA"/>
    <w:rsid w:val="00917BA1"/>
    <w:rsid w:val="00954B34"/>
    <w:rsid w:val="00970CB3"/>
    <w:rsid w:val="00974D7D"/>
    <w:rsid w:val="0098772F"/>
    <w:rsid w:val="009B53A5"/>
    <w:rsid w:val="009B5EA4"/>
    <w:rsid w:val="009E0E5F"/>
    <w:rsid w:val="00A072E8"/>
    <w:rsid w:val="00A515C9"/>
    <w:rsid w:val="00A54466"/>
    <w:rsid w:val="00A647D1"/>
    <w:rsid w:val="00A754C7"/>
    <w:rsid w:val="00AA6D52"/>
    <w:rsid w:val="00AB611E"/>
    <w:rsid w:val="00AB7B1F"/>
    <w:rsid w:val="00AD4E5B"/>
    <w:rsid w:val="00B51515"/>
    <w:rsid w:val="00B6411B"/>
    <w:rsid w:val="00B6663D"/>
    <w:rsid w:val="00B82D1A"/>
    <w:rsid w:val="00B93C48"/>
    <w:rsid w:val="00B9503A"/>
    <w:rsid w:val="00B97082"/>
    <w:rsid w:val="00BC1A67"/>
    <w:rsid w:val="00BC670C"/>
    <w:rsid w:val="00C52718"/>
    <w:rsid w:val="00CC4307"/>
    <w:rsid w:val="00CF2069"/>
    <w:rsid w:val="00CF7971"/>
    <w:rsid w:val="00D135D7"/>
    <w:rsid w:val="00D363E7"/>
    <w:rsid w:val="00D44AEE"/>
    <w:rsid w:val="00E049D5"/>
    <w:rsid w:val="00E06F25"/>
    <w:rsid w:val="00E1399B"/>
    <w:rsid w:val="00E16CA2"/>
    <w:rsid w:val="00E218AE"/>
    <w:rsid w:val="00E26419"/>
    <w:rsid w:val="00E63F1B"/>
    <w:rsid w:val="00E8434F"/>
    <w:rsid w:val="00EB1AEE"/>
    <w:rsid w:val="00EB64AC"/>
    <w:rsid w:val="00EC279E"/>
    <w:rsid w:val="00ED1124"/>
    <w:rsid w:val="00ED27B1"/>
    <w:rsid w:val="00EF1F6E"/>
    <w:rsid w:val="00F24D7B"/>
    <w:rsid w:val="00F309EB"/>
    <w:rsid w:val="00F32ACB"/>
    <w:rsid w:val="00F45746"/>
    <w:rsid w:val="00F63530"/>
    <w:rsid w:val="00F85DAC"/>
    <w:rsid w:val="00F86ED9"/>
    <w:rsid w:val="00F940D8"/>
    <w:rsid w:val="00FA1792"/>
    <w:rsid w:val="00FA33F4"/>
    <w:rsid w:val="00FB34F8"/>
    <w:rsid w:val="00FE6215"/>
    <w:rsid w:val="019A362C"/>
    <w:rsid w:val="01DD71FA"/>
    <w:rsid w:val="02F92A41"/>
    <w:rsid w:val="04807459"/>
    <w:rsid w:val="04A6657E"/>
    <w:rsid w:val="04D07BDC"/>
    <w:rsid w:val="06960697"/>
    <w:rsid w:val="0886554E"/>
    <w:rsid w:val="0E537724"/>
    <w:rsid w:val="102E3DCD"/>
    <w:rsid w:val="109437C5"/>
    <w:rsid w:val="14E32355"/>
    <w:rsid w:val="16072151"/>
    <w:rsid w:val="161C095F"/>
    <w:rsid w:val="16C253FD"/>
    <w:rsid w:val="170D06E0"/>
    <w:rsid w:val="17B57220"/>
    <w:rsid w:val="18E0370C"/>
    <w:rsid w:val="19634DE8"/>
    <w:rsid w:val="19F67E36"/>
    <w:rsid w:val="1CAA353F"/>
    <w:rsid w:val="1DE84D3F"/>
    <w:rsid w:val="1F387A52"/>
    <w:rsid w:val="242C3FEA"/>
    <w:rsid w:val="25614063"/>
    <w:rsid w:val="26195010"/>
    <w:rsid w:val="266D56AC"/>
    <w:rsid w:val="26B4010F"/>
    <w:rsid w:val="26EA587E"/>
    <w:rsid w:val="272E5F43"/>
    <w:rsid w:val="2C723882"/>
    <w:rsid w:val="2CA46DB6"/>
    <w:rsid w:val="310E508C"/>
    <w:rsid w:val="31AE7611"/>
    <w:rsid w:val="33964F33"/>
    <w:rsid w:val="33F9024F"/>
    <w:rsid w:val="3476792A"/>
    <w:rsid w:val="34F76D16"/>
    <w:rsid w:val="35222015"/>
    <w:rsid w:val="37BC20F0"/>
    <w:rsid w:val="39350123"/>
    <w:rsid w:val="39D13C16"/>
    <w:rsid w:val="3A31749C"/>
    <w:rsid w:val="3CB013CD"/>
    <w:rsid w:val="3D97091B"/>
    <w:rsid w:val="3F1E1BD1"/>
    <w:rsid w:val="3FAF6B45"/>
    <w:rsid w:val="458C09C9"/>
    <w:rsid w:val="45B076A2"/>
    <w:rsid w:val="48417F37"/>
    <w:rsid w:val="48934CAC"/>
    <w:rsid w:val="4A2D0F23"/>
    <w:rsid w:val="4B597329"/>
    <w:rsid w:val="4BA6554E"/>
    <w:rsid w:val="4EC76F93"/>
    <w:rsid w:val="4FA348A1"/>
    <w:rsid w:val="504925C9"/>
    <w:rsid w:val="50FF71A7"/>
    <w:rsid w:val="52F5632F"/>
    <w:rsid w:val="58AF77F8"/>
    <w:rsid w:val="58B20F89"/>
    <w:rsid w:val="599625A0"/>
    <w:rsid w:val="59A428DA"/>
    <w:rsid w:val="59E26D46"/>
    <w:rsid w:val="5A980A6B"/>
    <w:rsid w:val="5C9522F3"/>
    <w:rsid w:val="5CC75C31"/>
    <w:rsid w:val="5D4E68D6"/>
    <w:rsid w:val="5F387044"/>
    <w:rsid w:val="5FCA636B"/>
    <w:rsid w:val="60145C44"/>
    <w:rsid w:val="61D0794D"/>
    <w:rsid w:val="6245257E"/>
    <w:rsid w:val="62CF5FAE"/>
    <w:rsid w:val="6317262E"/>
    <w:rsid w:val="63A67D47"/>
    <w:rsid w:val="64121CC0"/>
    <w:rsid w:val="647F3F1A"/>
    <w:rsid w:val="64BE45BB"/>
    <w:rsid w:val="64F65AFD"/>
    <w:rsid w:val="67916765"/>
    <w:rsid w:val="697F2104"/>
    <w:rsid w:val="69D078B1"/>
    <w:rsid w:val="6E6860E1"/>
    <w:rsid w:val="6F0376B4"/>
    <w:rsid w:val="71267CAF"/>
    <w:rsid w:val="722F500B"/>
    <w:rsid w:val="73241537"/>
    <w:rsid w:val="733C675D"/>
    <w:rsid w:val="776E39C4"/>
    <w:rsid w:val="7A475F1B"/>
    <w:rsid w:val="7A4917F3"/>
    <w:rsid w:val="7BCB0109"/>
    <w:rsid w:val="7DE37AB5"/>
    <w:rsid w:val="7FD627B4"/>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Date"/>
    <w:basedOn w:val="1"/>
    <w:next w:val="1"/>
    <w:link w:val="17"/>
    <w:unhideWhenUsed/>
    <w:qFormat/>
    <w:uiPriority w:val="0"/>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qFormat/>
    <w:uiPriority w:val="0"/>
    <w:pPr>
      <w:snapToGrid w:val="0"/>
      <w:jc w:val="left"/>
    </w:pPr>
    <w:rPr>
      <w:sz w:val="18"/>
      <w:szCs w:val="18"/>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unhideWhenUsed/>
    <w:qFormat/>
    <w:uiPriority w:val="0"/>
    <w:rPr>
      <w:color w:val="0000FF"/>
      <w:u w:val="single"/>
    </w:rPr>
  </w:style>
  <w:style w:type="character" w:styleId="14">
    <w:name w:val="footnote reference"/>
    <w:basedOn w:val="12"/>
    <w:semiHidden/>
    <w:qFormat/>
    <w:uiPriority w:val="0"/>
    <w:rPr>
      <w:vertAlign w:val="superscript"/>
    </w:rPr>
  </w:style>
  <w:style w:type="character" w:customStyle="1" w:styleId="15">
    <w:name w:val="页眉 Char"/>
    <w:basedOn w:val="12"/>
    <w:link w:val="8"/>
    <w:semiHidden/>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日期 Char"/>
    <w:basedOn w:val="12"/>
    <w:link w:val="6"/>
    <w:semiHidden/>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282</Words>
  <Characters>1609</Characters>
  <Lines>13</Lines>
  <Paragraphs>3</Paragraphs>
  <TotalTime>10</TotalTime>
  <ScaleCrop>false</ScaleCrop>
  <LinksUpToDate>false</LinksUpToDate>
  <CharactersWithSpaces>1888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2020-09-23T15:18:00Z</dcterms:created>
  <dc:creator>微软用户</dc:creator>
  <cp:lastModifiedBy>混世巨蟹</cp:lastModifiedBy>
  <cp:lastPrinted>2021-04-15T09:38:00Z</cp:lastPrinted>
  <dcterms:modified xsi:type="dcterms:W3CDTF">2021-04-19T06:22:01Z</dcterms:modified>
  <dc:title>关于申报2015年度烟台市专利奖的通知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