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2021年度山东省人民政府决策咨询研究</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重点课题招标目录</w:t>
      </w:r>
    </w:p>
    <w:p>
      <w:pPr>
        <w:pStyle w:val="2"/>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（一）新发展格局下山东小微经济持续发展路径研究</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山东省小微企业规模大、活力强，是山东服务新发展格局的重要推动力量。受新冠肺炎疫情、经济转型压力、自身天然弱质性等因素影响，小微企业经营困难，面临融资难融资贵、创新力不强、竞争力不足、政策获得感弱等困境。本课题旨在深入分析新发展格局下小微企业发展现状，借鉴国内外先进经验做法，研究提出支持小微企业创新发展、多元融资、产业协作、开放合作、规模扩张等方面的政策措施。</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（二）山东省做大做强新能源产业研究</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rPr>
        <w:t>山东省高度重视新能源产业发展，印发《山东省新能源产业发展规划（2018-2028年）》等文件，推动太阳能、风能、核能等产业实现较快发展。同时，仍存在总量偏小、缺少龙头企业、核心竞争力不足等问题。本课题旨在研究山东省新能源产业发展现状、存在主要问题，着眼于优化产业结构和能源结构，立足于新能源技术研发、推广应用，在新能源汽车、燃料电池、可燃冰、核能、风能、氢能、太阳能等领域进行前瞻研究，提出对策建议。</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黑体" w:hAnsi="黑体" w:eastAsia="黑体" w:cs="黑体"/>
          <w:b/>
          <w:bCs w:val="0"/>
          <w:sz w:val="32"/>
          <w:szCs w:val="32"/>
          <w:shd w:val="clear" w:color="auto" w:fill="FFFFFF"/>
        </w:rPr>
      </w:pPr>
      <w:r>
        <w:rPr>
          <w:rFonts w:hint="eastAsia" w:ascii="黑体" w:hAnsi="黑体" w:eastAsia="黑体" w:cs="黑体"/>
          <w:bCs/>
          <w:sz w:val="32"/>
          <w:szCs w:val="32"/>
          <w:shd w:val="clear" w:color="auto" w:fill="FFFFFF"/>
        </w:rPr>
        <w:t>（三）山东开展种源“卡脖子”技术攻关和推动种业高质量发展研究</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2021年中央一号文件提出，打好种业翻身仗。6月，山东召开种业高质量发展专题会议，强调要深入实施现代种业提升工程，进一步增强山东省种业自主创新能力和综合竞争力，努力推动现代种业高质量发展。山东省作为农业大省、种业大省，小麦、玉米、马铃薯等方面的种业发展有基础和优势，促进种业高质量发展对保障粮食安全、打造乡村振兴齐鲁样板意义重大。本课题旨在通过分析山东省农业生产用种安全形势及风险，梳理种业发展现状以及存在的“卡脖子”难题，围绕壮大龙头企业、建设创新平台、培育人才团队、开展技术攻关等方面，研究提出增强山东省种业竞争力、支持种业创新发展的政策措施。</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黑体" w:hAnsi="黑体" w:eastAsia="黑体" w:cs="黑体"/>
          <w:b/>
          <w:bCs w:val="0"/>
          <w:sz w:val="32"/>
          <w:szCs w:val="32"/>
          <w:shd w:val="clear" w:color="auto" w:fill="FFFFFF"/>
        </w:rPr>
      </w:pPr>
      <w:r>
        <w:rPr>
          <w:rFonts w:hint="eastAsia" w:ascii="黑体" w:hAnsi="黑体" w:eastAsia="黑体" w:cs="黑体"/>
          <w:bCs/>
          <w:sz w:val="32"/>
          <w:szCs w:val="32"/>
          <w:shd w:val="clear" w:color="auto" w:fill="FFFFFF"/>
        </w:rPr>
        <w:t>（四）工业互联网赋能山东制造业转型研究</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工业互联网日益成为产业变革的关键支撑和重要基石。山东省是全国工业门类最为齐全的制造业大省，但制造业长期面临“全而不强”的困境。与此同时，山东省在全国工业互联网平台中具有一定优势。本课题旨在通过分析山东制造业发展面临的转型升级趋势，就如何利用好工业互联网平台优势，打造具有山东特色的工业互联网生态，赋能企业智能制造和数字化转型，形成可复制、可推广的工业互联网赋能方案，推动山东加快向“先进制造业强省”跨越。</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w:t>
      </w:r>
      <w:r>
        <w:rPr>
          <w:rFonts w:hint="eastAsia" w:ascii="黑体" w:hAnsi="黑体" w:eastAsia="黑体" w:cs="黑体"/>
          <w:bCs/>
          <w:sz w:val="32"/>
          <w:szCs w:val="32"/>
          <w:shd w:val="clear" w:color="auto" w:fill="FFFFFF"/>
        </w:rPr>
        <w:t>五）山东产业发展省级统筹机制研究</w:t>
      </w:r>
    </w:p>
    <w:p>
      <w:pPr>
        <w:keepNext w:val="0"/>
        <w:keepLines w:val="0"/>
        <w:pageBreakBefore w:val="0"/>
        <w:kinsoku/>
        <w:wordWrap/>
        <w:overflowPunct/>
        <w:topLinePunct w:val="0"/>
        <w:autoSpaceDE/>
        <w:autoSpaceDN/>
        <w:bidi w:val="0"/>
        <w:spacing w:line="600" w:lineRule="exact"/>
        <w:ind w:firstLine="630" w:firstLineChars="197"/>
        <w:textAlignment w:val="auto"/>
        <w:outlineLvl w:val="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2021年4月，山东省新旧动能转换“五年取得突破”动员部署会议提出，要树立全省“一盘棋”思想，加强省级统筹管理。本课题旨在从统筹协调发展的角度，就产业发展、园区培育、项目布局及土地、能耗等要素保障方面，研究加强省级统筹管理、优化产业集群空间布局、推进资源要素优化配置的路径和机制。</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（六）山东企业上市制约因素及应对举措研究</w:t>
      </w:r>
    </w:p>
    <w:p>
      <w:pPr>
        <w:keepNext w:val="0"/>
        <w:keepLines w:val="0"/>
        <w:pageBreakBefore w:val="0"/>
        <w:kinsoku/>
        <w:wordWrap/>
        <w:overflowPunct/>
        <w:topLinePunct w:val="0"/>
        <w:autoSpaceDE/>
        <w:autoSpaceDN/>
        <w:bidi w:val="0"/>
        <w:spacing w:line="600" w:lineRule="exact"/>
        <w:ind w:firstLine="630" w:firstLineChars="197"/>
        <w:textAlignment w:val="auto"/>
        <w:outlineLvl w:val="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上市企业反映了一个地方经济发展的动力和潜力，代表着一个地方的创新能力和竞争力。近年来，山东省企业上市工作取得了明显进步，但与先进省份相比，仍存在不小差距。本课题着眼于融资多元化，分析制约山东省企业上市的主要因素，围绕转变观念、企业股份制改造、完善资本市场体系、培育上市后备资源等方面，研究提出有针对性和可操作性的政策举措，助推企业提升竞争力。</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（七）山东巩固拓展脱贫攻坚成果与乡村振兴有效衔接研究</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当前，山东省脱贫攻坚战取得全面胜利，打造乡村振兴齐鲁样板正处于关键阶段。坚决防止返贫和新贫困，实现巩固拓展脱贫攻坚成果与乡村振兴有效衔接，是打造乡村振兴齐鲁样板、实现农业农村现代化必须解决的问题。本课题旨在通过分析山东省巩固拓展脱贫攻坚成果与乡村振兴有效衔接面临的问题，亟需解决的难点、痛点和堵点，聚焦政策衔接、工作衔接，明确财政、金融、土地、人才等政策措施，提出健全长效机制、低收入群体常态化帮扶、特色产业发展、重点区域帮扶等方面的路径与对策。</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（八）山东推进碳达峰碳中和研究</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十四五”规划和2035年远景目标纲要提出，落实2030年应对气候变化国家自主贡献目标，制定2030年前碳排放达峰行动方案，将做好碳达峰、碳中和工作列为重点任务之一。山东省委、省政府明确提出，山东作为能耗大省要率先实现碳达峰。本课题旨在分析实现碳达峰碳中和可能为山东省带来的挑战和机遇，摸清碳排放的现状，围绕阶段性目标设定、路径选择、重点举措、进度安排等，聚焦能源结构、产业结构、交通运输结构等方面的优化调整以及植树造林、建筑节能等工作，研究提出有针对性和可操作性的政策举措，助推山东生态文明建设。</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黑体" w:hAnsi="黑体" w:eastAsia="黑体" w:cs="黑体"/>
          <w:b/>
          <w:bCs w:val="0"/>
          <w:sz w:val="32"/>
          <w:szCs w:val="32"/>
          <w:shd w:val="clear" w:color="auto" w:fill="FFFFFF"/>
        </w:rPr>
      </w:pPr>
      <w:r>
        <w:rPr>
          <w:rFonts w:hint="eastAsia" w:ascii="黑体" w:hAnsi="黑体" w:eastAsia="黑体" w:cs="黑体"/>
          <w:bCs/>
          <w:sz w:val="32"/>
          <w:szCs w:val="32"/>
          <w:shd w:val="clear" w:color="auto" w:fill="FFFFFF"/>
        </w:rPr>
        <w:t>（九）RCEP背景下技术性贸易措施对山东出口影响及协同应对机制研究</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RCEP协定实施有利于促进山东省扩大进出口，给商品流动、技术流动、服务流动、资本流动带来便利。在RCEP协定中，按照WTO规则允许的出于保护人类、动植物生命和健康、保护消费者权益、保护环境、反欺诈等合法目标而制定和实施的必要技术法规、标准、合格评定程序、动物卫生、植物卫生和食品安全等措施，会成为影响出口的重要因素。本课题旨在研究RCEP技术性贸易措施的基本规则，分析RCEP中技术性贸易措施对山东省出口的影响，研究建立省级有关部门协同应对机制，提出在食品安全、产品质量、动植物卫生等方面的应对措施，助力山东加快打造对外开放新高地。</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（十）省会、胶东、鲁南三大经济圈协同一体发展研究</w:t>
      </w:r>
    </w:p>
    <w:p>
      <w:pPr>
        <w:keepNext w:val="0"/>
        <w:keepLines w:val="0"/>
        <w:pageBreakBefore w:val="0"/>
        <w:kinsoku/>
        <w:wordWrap/>
        <w:overflowPunct/>
        <w:topLinePunct w:val="0"/>
        <w:autoSpaceDE/>
        <w:autoSpaceDN/>
        <w:bidi w:val="0"/>
        <w:spacing w:line="600" w:lineRule="exact"/>
        <w:ind w:firstLine="705"/>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山东省“十四五”规划提出，健全区域协调发展体制机制，加快省会、胶东、鲁南三大经济圈建设，健全跨市域、跨区域合作机制。本课题旨在通过分析山东省三大经济圈协同一体发展的优势与挑战，围绕做强省会经济圈、提升胶东经济圈、振兴鲁南经济圈，建立圈内和经济圈之间高效协作机制，在设施共联、人才共用、产业共兴、市场共建、开放共赢、生态共保、社会共治等方面提出对策建议。</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（十一）山东“一带一路”产能合作面临的形势及应对举措</w:t>
      </w:r>
    </w:p>
    <w:p>
      <w:pPr>
        <w:keepNext w:val="0"/>
        <w:keepLines w:val="0"/>
        <w:pageBreakBefore w:val="0"/>
        <w:kinsoku/>
        <w:wordWrap/>
        <w:overflowPunct/>
        <w:topLinePunct w:val="0"/>
        <w:autoSpaceDE/>
        <w:autoSpaceDN/>
        <w:bidi w:val="0"/>
        <w:spacing w:line="600" w:lineRule="exact"/>
        <w:ind w:firstLine="627" w:firstLineChars="196"/>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当前，国内外形势复杂严峻，外部不确定、不稳定因素增多，新冠肺炎疫情蔓延给全球供应链体系带来了新的变数，这对“一带一路”产能合作既是机遇、又是挑战。山东省发挥区位交通优势，积极参与“一带一路”合作，取得明显成效。本课题旨在通过分析国际国内形势的新变化，分析山东的比较优势，明确在“一带一路”沿线国家的产业发展重点、合作形式，围绕先进制造业、现代农业、园区共建、基础设施、熟悉运用国际规则等方面，提出构建开放包容、互利共赢的产能合作新格局的思路与对策。 </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（十二）山东建立农村低收入人口动态监测和常态化帮扶机制研究</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2021年中央一号文件提出，加强农村低收入人口常态化帮扶。2020年底，山东省农村绝对贫困人口全部脱贫，但仍有一部分人群处于低收入状态。对低收入人口的动态监测和常态化帮扶，是山东省“十四五”时期农村工作的一项重要内容。本课题着眼于共同富裕和城乡协调发展，旨在深入分析农村低收入人口的特征，建立农村低收入人口动态监测和常态化帮扶机制，探索开发式帮扶、分层分类帮扶路径，通过多渠道就业、社会救助、医疗保障、教育培训等方式，改善低收入人口生产生活条件，助力实施乡村振兴战略。</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（十三）山东打造乡村教育振兴先行区路径研究</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打造乡村振兴齐鲁样板是习近平总书记对山东的殷切希望。乡村振兴要靠人才，而人才培养靠教育。乡村教育事业的发展，是乡村振兴战略的重要支点。山东省作为教育部支持建设乡村教育振兴先行区试点的唯一省份，肩负着探索积累改革经验，为全国乡村教育振兴提供可复制、可推广经验做法的重任。本课题旨在分析山东省乡村教育发展的现状，提出山东省在乡村学校建设、信息化应用、教师引进培养、教育教学质量提高、城乡教育资源优化配置等方面的建设路径和具体措施。</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黑体" w:hAnsi="黑体" w:eastAsia="黑体" w:cs="黑体"/>
          <w:bCs/>
          <w:sz w:val="32"/>
          <w:szCs w:val="32"/>
          <w:shd w:val="clear" w:color="auto" w:fill="FFFFFF"/>
        </w:rPr>
      </w:pPr>
      <w:r>
        <w:rPr>
          <w:rFonts w:hint="eastAsia" w:ascii="黑体" w:hAnsi="黑体" w:eastAsia="黑体" w:cs="黑体"/>
          <w:bCs/>
          <w:sz w:val="32"/>
          <w:szCs w:val="32"/>
          <w:shd w:val="clear" w:color="auto" w:fill="FFFFFF"/>
        </w:rPr>
        <w:t>（十四）山东推动新型城镇化高质量发展路径研究</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国家“十四五”规划提出，坚持走中国特色新型城镇化道路，深入推进以人为核心的新型城镇化战略。近年来，山东加大新型城镇化推进力度，城镇化发展质量不断提升，但是相比常住人口城镇化率较高的广东、江苏、浙江，山东的常住人口城镇化率仍然较低，城乡统筹协调发展的机制尚不健全，具有较大潜力和发展空间。本课题旨在深入分析山东省当前新型城镇化推进过程中存在的问题，聚焦高质量、特色化发展，就农业转移人口市民化、优化空间布局、完善公共服务、城乡融合发展、基础设施建设等方面提出对策建议，助力新型城镇化高质量发展。</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仿宋_GB2312" w:hAnsi="仿宋_GB2312" w:eastAsia="仿宋_GB2312" w:cs="仿宋_GB2312"/>
          <w:b/>
          <w:bCs w:val="0"/>
          <w:sz w:val="32"/>
          <w:szCs w:val="32"/>
          <w:shd w:val="clear" w:color="auto" w:fill="FFFFFF"/>
        </w:rPr>
      </w:pPr>
      <w:r>
        <w:rPr>
          <w:rFonts w:hint="eastAsia" w:ascii="黑体" w:hAnsi="黑体" w:eastAsia="黑体" w:cs="黑体"/>
          <w:bCs/>
          <w:sz w:val="32"/>
          <w:szCs w:val="32"/>
          <w:shd w:val="clear" w:color="auto" w:fill="FFFFFF"/>
        </w:rPr>
        <w:t>（十五）山东发展壮大节能环保产业研究</w:t>
      </w:r>
    </w:p>
    <w:p>
      <w:pPr>
        <w:keepNext w:val="0"/>
        <w:keepLines w:val="0"/>
        <w:pageBreakBefore w:val="0"/>
        <w:kinsoku/>
        <w:wordWrap/>
        <w:overflowPunct/>
        <w:topLinePunct w:val="0"/>
        <w:autoSpaceDE/>
        <w:autoSpaceDN/>
        <w:bidi w:val="0"/>
        <w:spacing w:line="600" w:lineRule="exact"/>
        <w:ind w:firstLine="630" w:firstLineChars="197"/>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山东节能环保产业具有一定规模和比较优势，涌现出一批骨干企业，但仍存在自主创新能力有待提升、龙头骨干企业带动能力弱等问题。山东省“十四五”规划提出，发展壮大环保产业，推动传统产业节能低碳和智能化、清洁化改造，建设绿色新型基础设施，培育一批骨干企业和示范园区。本课题旨在梳理山东节能环保产业发展现状，分析产业发展趋势，围绕高效节能、资源循环利用等方面，就强化绿色技术创新、推进清洁生产、发展绿色建筑、壮大环保产业、推广循环经济等方面提出对策建议。 </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7C7DD7"/>
    <w:rsid w:val="3A7B5489"/>
    <w:rsid w:val="57E8439A"/>
    <w:rsid w:val="7CFB0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next w:val="4"/>
    <w:uiPriority w:val="0"/>
    <w:pPr>
      <w:spacing w:after="120"/>
      <w:ind w:left="420" w:leftChars="200"/>
    </w:pPr>
  </w:style>
  <w:style w:type="paragraph" w:styleId="4">
    <w:name w:val="Body Text 2"/>
    <w:basedOn w:val="1"/>
    <w:next w:val="5"/>
    <w:qFormat/>
    <w:uiPriority w:val="0"/>
    <w:rPr>
      <w:sz w:val="24"/>
      <w:szCs w:val="24"/>
    </w:rPr>
  </w:style>
  <w:style w:type="paragraph" w:styleId="5">
    <w:name w:val="List 2"/>
    <w:basedOn w:val="1"/>
    <w:next w:val="6"/>
    <w:qFormat/>
    <w:uiPriority w:val="0"/>
    <w:pPr>
      <w:ind w:left="100" w:leftChars="200" w:hanging="200" w:hangingChars="200"/>
    </w:pPr>
  </w:style>
  <w:style w:type="paragraph" w:styleId="6">
    <w:name w:val="List 3"/>
    <w:basedOn w:val="1"/>
    <w:next w:val="7"/>
    <w:qFormat/>
    <w:uiPriority w:val="0"/>
    <w:pPr>
      <w:ind w:left="100" w:firstLine="3640"/>
    </w:pPr>
  </w:style>
  <w:style w:type="paragraph" w:styleId="7">
    <w:name w:val="Body Text"/>
    <w:basedOn w:val="1"/>
    <w:next w:val="8"/>
    <w:qFormat/>
    <w:uiPriority w:val="0"/>
    <w:pPr>
      <w:spacing w:after="120"/>
    </w:pPr>
  </w:style>
  <w:style w:type="paragraph" w:customStyle="1" w:styleId="8">
    <w:name w:val="标准"/>
    <w:basedOn w:val="1"/>
    <w:next w:val="1"/>
    <w:qFormat/>
    <w:uiPriority w:val="0"/>
    <w:pPr>
      <w:spacing w:before="120" w:after="120" w:line="312" w:lineRule="atLeast"/>
      <w:ind w:firstLine="3584"/>
    </w:pPr>
  </w:style>
  <w:style w:type="paragraph" w:styleId="9">
    <w:name w:val="Normal (Web)"/>
    <w:basedOn w:val="1"/>
    <w:next w:val="3"/>
    <w:qFormat/>
    <w:uiPriority w:val="0"/>
    <w:pPr>
      <w:widowControl/>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2021-08-23T02:06:00Z</dcterms:created>
  <dc:creator>hp</dc:creator>
  <cp:lastModifiedBy>hp</cp:lastModifiedBy>
  <cp:lastPrinted>2021-08-23T02:35:56Z</cp:lastPrinted>
  <dcterms:modified xsi:type="dcterms:W3CDTF">2021-08-23T03:06:17Z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