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964C6">
      <w:pPr>
        <w:spacing w:line="660" w:lineRule="exact"/>
        <w:jc w:val="left"/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bookmarkStart w:id="0" w:name="_GoBack"/>
      <w:bookmarkEnd w:id="0"/>
    </w:p>
    <w:p w14:paraId="3AA45881">
      <w:pPr>
        <w:spacing w:line="660" w:lineRule="exact"/>
        <w:jc w:val="center"/>
        <w:rPr>
          <w:rFonts w:ascii="方正小标宋简体" w:hAnsi="仿宋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滨州市科学技术协会品牌学术活动</w:t>
      </w:r>
    </w:p>
    <w:p w14:paraId="2F7528DB">
      <w:pPr>
        <w:spacing w:line="660" w:lineRule="exact"/>
        <w:jc w:val="center"/>
        <w:rPr>
          <w:rFonts w:ascii="方正小标宋简体" w:hAnsi="仿宋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管理办法（试行）</w:t>
      </w:r>
    </w:p>
    <w:p w14:paraId="23D07E63">
      <w:pPr>
        <w:spacing w:line="660" w:lineRule="exact"/>
        <w:jc w:val="center"/>
        <w:rPr>
          <w:rFonts w:ascii="仿宋" w:hAnsi="仿宋" w:eastAsia="仿宋"/>
          <w:color w:val="000000" w:themeColor="text1"/>
          <w:sz w:val="40"/>
          <w:szCs w:val="44"/>
          <w14:textFill>
            <w14:solidFill>
              <w14:schemeClr w14:val="tx1"/>
            </w14:solidFill>
          </w14:textFill>
        </w:rPr>
      </w:pPr>
    </w:p>
    <w:p w14:paraId="215C132F">
      <w:pPr>
        <w:widowControl/>
        <w:spacing w:line="56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第一条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为促进学术交流合作、推动科研成果转化，滨州市科协打造了“渤海学术沙龙”学术品牌，为规范完善相关申报、举办、评价等管理制度，确保活动开展的质量和效果，引导我市学术活动健康发展，特制定本办法。</w:t>
      </w:r>
    </w:p>
    <w:p w14:paraId="2102810F">
      <w:pPr>
        <w:widowControl/>
        <w:spacing w:line="56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第二条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学术活动主题为自然科学范畴，以高端铝业、精细化工、智能纺织、食品加工、畜牧水产、新能源装备制造、锂电新材料等我市优势产业相关学术活动为重点，兼顾乡村振兴、环境保护、以信息技术人工智能为代表的新质生产力、重大科技创新等国家发展战略相关主题。同时，鼓励医养健康、化纤绳网、商用厨具、金属板材等地方特色产业领域学术活动的开展。</w:t>
      </w:r>
    </w:p>
    <w:p w14:paraId="114596F9">
      <w:pPr>
        <w:widowControl/>
        <w:spacing w:line="56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第三条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活动申报：</w:t>
      </w:r>
    </w:p>
    <w:p w14:paraId="31B38154">
      <w:pPr>
        <w:spacing w:line="56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申请单位填写《“渤海学术沙龙”承办申报表》，将电子版及盖章扫描件报市科协学会部，联合申报的项目，由牵头单位填写申报表，参与单位加盖印章；未成立科协组织的乡镇、园区或企业拟申报的，由所属县市区科协帮助成立科协后，方可申报。</w:t>
      </w:r>
    </w:p>
    <w:p w14:paraId="64D1D0BE">
      <w:pPr>
        <w:spacing w:line="56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仿宋_GB2312" w:hAnsi="仿宋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市科协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根据申请学术活动的主题，拟邀请专家的学术影响力，拟邀请单位的代表性、参与度等因素，组织专家择优遴选，统一公布立项（每年20-40项），与承办单位签订项目委托书。</w:t>
      </w:r>
    </w:p>
    <w:p w14:paraId="57715F7E">
      <w:pPr>
        <w:spacing w:line="56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（三）活动一般按上述程序由承办单位年初统一申报。特殊高层次学术活动可根据需要临时申报，市科协学会部择优报主席办公会通过并公示后予以支持。</w:t>
      </w:r>
    </w:p>
    <w:p w14:paraId="2B71617D">
      <w:pPr>
        <w:spacing w:line="56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第四条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活动举办：</w:t>
      </w:r>
    </w:p>
    <w:p w14:paraId="2A0BDFB1">
      <w:pPr>
        <w:spacing w:line="56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申请者应按照申报书组织开展学术活动。活动举办主题应与申报书保持一致，且邀请的专家应与活动主题相对应。线上报告的专家不能超过线下报告专家数，拟邀请的专家届时不能参与的，应邀请其他相应层次专家替代，确保活动顺利进行。</w:t>
      </w:r>
    </w:p>
    <w:p w14:paraId="77306B63">
      <w:pPr>
        <w:spacing w:line="56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“渤海学术沙龙”活动采用“2+5”模式，2名及以上市内外知名专家线下作主旨报告、至少5名业内科技工作者代表（即至少5个参与单位）线下参与互动讨论，参与人数至少15名（不包括在读的研究生），鼓励线上线下相结合的方式增加活动的参与度。</w:t>
      </w:r>
    </w:p>
    <w:p w14:paraId="18AC6029">
      <w:pPr>
        <w:spacing w:line="56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（三）活动举办前应上报市科协活动的具体实施方案，包括活动名称、规模、参与人员、时间、地点等。</w:t>
      </w:r>
    </w:p>
    <w:p w14:paraId="38CD7C43">
      <w:pPr>
        <w:spacing w:line="560" w:lineRule="exact"/>
        <w:ind w:firstLine="640" w:firstLineChars="200"/>
        <w:rPr>
          <w:rFonts w:ascii="仿宋_GB2312" w:hAnsi="仿宋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申报单位及承办方负责活动的意识形态工作，并提前对报告专家分享的内容进行意识形态方面的审核把关，坚决避免出现意识形态方面错误，同时，活动方案应有相关的应急预案。为保障活动开展的公益性，禁止报告专家带有商业性质的产品或服务的推介、展示，禁止沙龙活动与企事业单位产品展示会、推介会、订购会等结合开展，禁止以学术交流的名义开展商业活动。</w:t>
      </w:r>
    </w:p>
    <w:p w14:paraId="69E129C1">
      <w:pPr>
        <w:spacing w:line="56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（五）承办单位拟以“主办单位”“承办单位”“协办单位”“指导单位”等方式增加参与单位的，须提前征求市科协的意见。</w:t>
      </w:r>
    </w:p>
    <w:p w14:paraId="2EBBE84D">
      <w:pPr>
        <w:spacing w:line="560" w:lineRule="exact"/>
        <w:ind w:firstLine="640" w:firstLineChars="200"/>
        <w:rPr>
          <w:rFonts w:ascii="仿宋_GB2312" w:hAnsi="仿宋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（六）活动主标题须以“渤海学术沙龙”冠名并采用统一背景模板。</w:t>
      </w:r>
    </w:p>
    <w:p w14:paraId="3C0B3DD4">
      <w:pPr>
        <w:spacing w:line="560" w:lineRule="exact"/>
        <w:ind w:firstLine="640" w:firstLineChars="200"/>
        <w:rPr>
          <w:rFonts w:ascii="仿宋_GB2312" w:hAnsi="仿宋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第五条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活动材料提交：</w:t>
      </w:r>
    </w:p>
    <w:p w14:paraId="1E5920C4">
      <w:pPr>
        <w:spacing w:line="560" w:lineRule="exact"/>
        <w:ind w:firstLine="640" w:firstLineChars="200"/>
        <w:rPr>
          <w:rFonts w:ascii="仿宋_GB2312" w:hAnsi="仿宋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活动结束后两周内，承办方须将“渤海学术沙龙”成果报告表（WORD+PDF盖章版）报市科协学会部，并按要求提交活动信息及会场全景、专家报告、互动交流等环节照片（具体要求见附件）。材料提交不全的，后续不予支持。</w:t>
      </w:r>
    </w:p>
    <w:p w14:paraId="0259E47B">
      <w:pPr>
        <w:spacing w:line="56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（二）鼓励学术活动产生科技工作者建议等智库成果，有市委、市政府主要负责同志及以上批示肯定，并有推广应用价值，被相关单位采纳的，市科协视签批、采纳及应用情况给予10000元及以上奖励。</w:t>
      </w:r>
    </w:p>
    <w:p w14:paraId="0B1E95B9">
      <w:pPr>
        <w:spacing w:line="56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仿宋_GB2312" w:hAnsi="仿宋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“渤海学术沙龙”项目，须在滨州市举办，且在本年度12月10日前完成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1749B5AB">
      <w:pPr>
        <w:spacing w:line="56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第六条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评价管理</w:t>
      </w:r>
    </w:p>
    <w:p w14:paraId="2F7C050E">
      <w:pPr>
        <w:spacing w:line="56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科协学会部收到承办方提交的活动总结材料后，开展质量评价工作，评价因素包括实际举办与活动申报书相符情况、院士专家参与及智库建议产生情况等，满足本办法要求的沙龙活动给予5000元及以上补助。如活动实施过程中未满足本办法第四条第二部分要求的，将降低补助标准（报告专家未达到要求的降低30%，会议规模未达到要求的降低30%）；如未按申报活动主题开展的，将不予以支持。</w:t>
      </w:r>
    </w:p>
    <w:p w14:paraId="7DA81E4E">
      <w:pPr>
        <w:spacing w:line="56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第七条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其他注意事项：</w:t>
      </w:r>
    </w:p>
    <w:p w14:paraId="0757F8D8">
      <w:pPr>
        <w:widowControl/>
        <w:spacing w:line="56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（一）活动主题和内容应符合承办方及参与各单位的学术领域和业务范围，并且举办过程应遵守相关法律法规及承办单位的管理规定。</w:t>
      </w:r>
    </w:p>
    <w:p w14:paraId="00A6B8EE">
      <w:pPr>
        <w:spacing w:line="56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（二）不得强制其他组织或者个人参加，不得强行收取相关费用。</w:t>
      </w:r>
    </w:p>
    <w:p w14:paraId="7DBE3FDF">
      <w:pPr>
        <w:spacing w:line="56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（三）未经批准，不得随意冠以“中国”“中华”“全国”“国际”“山东”“全省”“滨州”“全市”“齐鲁”等字样，不得随意使用“峰会”“高峰”“高端”等高规格称谓。</w:t>
      </w:r>
    </w:p>
    <w:p w14:paraId="6BA24E56">
      <w:pPr>
        <w:spacing w:line="56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第八条  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本管理办法由滨州市科学技术协会负责解释，自发布之日起生效，期限三年。</w:t>
      </w:r>
    </w:p>
    <w:p w14:paraId="4CD7BBA3">
      <w:pPr>
        <w:spacing w:line="56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2516F5F">
      <w:pPr>
        <w:spacing w:line="56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AD0754C">
      <w:pPr>
        <w:spacing w:line="56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1D4A86D">
      <w:pPr>
        <w:spacing w:line="56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59C48B7">
      <w:pPr>
        <w:spacing w:line="56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714D707">
      <w:pPr>
        <w:pStyle w:val="8"/>
        <w:overflowPunct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黑体" w:eastAsia="黑体"/>
          <w:color w:val="000000"/>
          <w:sz w:val="32"/>
          <w:szCs w:val="32"/>
        </w:rPr>
      </w:pPr>
    </w:p>
    <w:p w14:paraId="676EA513">
      <w:pPr>
        <w:pStyle w:val="8"/>
        <w:overflowPunct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黑体" w:eastAsia="黑体"/>
          <w:color w:val="000000"/>
          <w:sz w:val="32"/>
          <w:szCs w:val="32"/>
        </w:rPr>
      </w:pPr>
    </w:p>
    <w:p w14:paraId="1035C633">
      <w:pPr>
        <w:overflowPunct w:val="0"/>
        <w:adjustRightInd w:val="0"/>
        <w:snapToGrid w:val="0"/>
        <w:spacing w:line="560" w:lineRule="exact"/>
        <w:ind w:right="225" w:rightChars="107"/>
        <w:jc w:val="both"/>
        <w:rPr>
          <w:rFonts w:ascii="Times New Roman" w:hAnsi="Times New Roman"/>
          <w:sz w:val="11"/>
          <w:szCs w:val="13"/>
        </w:rPr>
      </w:pPr>
    </w:p>
    <w:sectPr>
      <w:footerReference r:id="rId3" w:type="default"/>
      <w:pgSz w:w="11905" w:h="16838"/>
      <w:pgMar w:top="1984" w:right="1701" w:bottom="1701" w:left="1701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29153A75">
    <w:panose1 w:val="020B0502040204020203"/>
    <w:charset w:val="00"/>
    <w:family w:val="auto"/>
    <w:pitch w:val="default"/>
    <w:sig w:usb0="00000001" w:usb1="00000000" w:usb2="00000000" w:usb3="00000000" w:csb0="00000001" w:csb1="00000000"/>
  </w:font>
  <w:font w:name="KSOF1D5EAB94">
    <w:panose1 w:val="020B0802040204020203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45903E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DEF0F70"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EF0F70"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8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5ZWQyZjA0NjRkNTdlNWZlOGNjNWE3OGJiYTdhNTcifQ=="/>
  </w:docVars>
  <w:rsids>
    <w:rsidRoot w:val="00A44110"/>
    <w:rsid w:val="0003760E"/>
    <w:rsid w:val="00037B5A"/>
    <w:rsid w:val="00056C7A"/>
    <w:rsid w:val="0007748F"/>
    <w:rsid w:val="00090095"/>
    <w:rsid w:val="000A0162"/>
    <w:rsid w:val="000A3416"/>
    <w:rsid w:val="000B73D1"/>
    <w:rsid w:val="000C0C11"/>
    <w:rsid w:val="000D638E"/>
    <w:rsid w:val="000E0341"/>
    <w:rsid w:val="000E70BD"/>
    <w:rsid w:val="001006D7"/>
    <w:rsid w:val="001123D1"/>
    <w:rsid w:val="00135D78"/>
    <w:rsid w:val="00176162"/>
    <w:rsid w:val="001807B7"/>
    <w:rsid w:val="001866B2"/>
    <w:rsid w:val="0019669A"/>
    <w:rsid w:val="001D497F"/>
    <w:rsid w:val="001F100F"/>
    <w:rsid w:val="00220D55"/>
    <w:rsid w:val="00273375"/>
    <w:rsid w:val="00274F12"/>
    <w:rsid w:val="0028569B"/>
    <w:rsid w:val="00291A93"/>
    <w:rsid w:val="002B073F"/>
    <w:rsid w:val="002C76AA"/>
    <w:rsid w:val="0031625B"/>
    <w:rsid w:val="0032706B"/>
    <w:rsid w:val="00345E32"/>
    <w:rsid w:val="0036297C"/>
    <w:rsid w:val="003F04A6"/>
    <w:rsid w:val="00420C93"/>
    <w:rsid w:val="004342D7"/>
    <w:rsid w:val="00441EED"/>
    <w:rsid w:val="0044254A"/>
    <w:rsid w:val="00452843"/>
    <w:rsid w:val="00477285"/>
    <w:rsid w:val="00477EED"/>
    <w:rsid w:val="004835A0"/>
    <w:rsid w:val="00483E17"/>
    <w:rsid w:val="004871C8"/>
    <w:rsid w:val="004A5B47"/>
    <w:rsid w:val="004C7BB8"/>
    <w:rsid w:val="004D52E6"/>
    <w:rsid w:val="004E1F6A"/>
    <w:rsid w:val="005508F1"/>
    <w:rsid w:val="00561F98"/>
    <w:rsid w:val="00563A42"/>
    <w:rsid w:val="005B6A3C"/>
    <w:rsid w:val="005E1617"/>
    <w:rsid w:val="005E7807"/>
    <w:rsid w:val="005F0458"/>
    <w:rsid w:val="005F219D"/>
    <w:rsid w:val="00600BB2"/>
    <w:rsid w:val="00604997"/>
    <w:rsid w:val="0060515A"/>
    <w:rsid w:val="006405F5"/>
    <w:rsid w:val="00641254"/>
    <w:rsid w:val="006444B9"/>
    <w:rsid w:val="006904C2"/>
    <w:rsid w:val="006955CC"/>
    <w:rsid w:val="006B4640"/>
    <w:rsid w:val="006E2003"/>
    <w:rsid w:val="006F2971"/>
    <w:rsid w:val="0071261F"/>
    <w:rsid w:val="00715A81"/>
    <w:rsid w:val="00772FCE"/>
    <w:rsid w:val="007901ED"/>
    <w:rsid w:val="007C0B83"/>
    <w:rsid w:val="007C5EF7"/>
    <w:rsid w:val="007F5EDE"/>
    <w:rsid w:val="00845B2B"/>
    <w:rsid w:val="00872C2F"/>
    <w:rsid w:val="008B5492"/>
    <w:rsid w:val="008F2191"/>
    <w:rsid w:val="00911019"/>
    <w:rsid w:val="009377A3"/>
    <w:rsid w:val="00941AC6"/>
    <w:rsid w:val="009467B7"/>
    <w:rsid w:val="009557F5"/>
    <w:rsid w:val="00993746"/>
    <w:rsid w:val="00994F90"/>
    <w:rsid w:val="009964E7"/>
    <w:rsid w:val="009A2DB4"/>
    <w:rsid w:val="009C3B02"/>
    <w:rsid w:val="00A22EAC"/>
    <w:rsid w:val="00A3301D"/>
    <w:rsid w:val="00A346A3"/>
    <w:rsid w:val="00A44110"/>
    <w:rsid w:val="00A52AF1"/>
    <w:rsid w:val="00A85E7D"/>
    <w:rsid w:val="00A94467"/>
    <w:rsid w:val="00AA2631"/>
    <w:rsid w:val="00AD5197"/>
    <w:rsid w:val="00B07BF6"/>
    <w:rsid w:val="00B23345"/>
    <w:rsid w:val="00B62CD9"/>
    <w:rsid w:val="00BC57F6"/>
    <w:rsid w:val="00BF16E1"/>
    <w:rsid w:val="00C24933"/>
    <w:rsid w:val="00C46242"/>
    <w:rsid w:val="00C47C6A"/>
    <w:rsid w:val="00C844AA"/>
    <w:rsid w:val="00CB4E2C"/>
    <w:rsid w:val="00D00B31"/>
    <w:rsid w:val="00D100F8"/>
    <w:rsid w:val="00D643EC"/>
    <w:rsid w:val="00D65093"/>
    <w:rsid w:val="00D8103E"/>
    <w:rsid w:val="00D9299A"/>
    <w:rsid w:val="00DA5EAF"/>
    <w:rsid w:val="00DB1726"/>
    <w:rsid w:val="00DB7B6B"/>
    <w:rsid w:val="00DC00C5"/>
    <w:rsid w:val="00DF3585"/>
    <w:rsid w:val="00E26F70"/>
    <w:rsid w:val="00E442AB"/>
    <w:rsid w:val="00E765A9"/>
    <w:rsid w:val="00EA7D87"/>
    <w:rsid w:val="00EB21F7"/>
    <w:rsid w:val="00EC1850"/>
    <w:rsid w:val="00ED441C"/>
    <w:rsid w:val="00F15D29"/>
    <w:rsid w:val="00F20AE3"/>
    <w:rsid w:val="00F42422"/>
    <w:rsid w:val="00F44278"/>
    <w:rsid w:val="00F6314F"/>
    <w:rsid w:val="00F67E50"/>
    <w:rsid w:val="00FC6642"/>
    <w:rsid w:val="00FF48FF"/>
    <w:rsid w:val="016C2D4F"/>
    <w:rsid w:val="05F71531"/>
    <w:rsid w:val="098F289A"/>
    <w:rsid w:val="0F380BDC"/>
    <w:rsid w:val="10462997"/>
    <w:rsid w:val="10D05894"/>
    <w:rsid w:val="116A55A1"/>
    <w:rsid w:val="11D31C80"/>
    <w:rsid w:val="155B3862"/>
    <w:rsid w:val="15663431"/>
    <w:rsid w:val="15773581"/>
    <w:rsid w:val="166216EC"/>
    <w:rsid w:val="19F1727F"/>
    <w:rsid w:val="1FB62E11"/>
    <w:rsid w:val="2132448C"/>
    <w:rsid w:val="23A600EF"/>
    <w:rsid w:val="25A96B26"/>
    <w:rsid w:val="267B76A7"/>
    <w:rsid w:val="2691283B"/>
    <w:rsid w:val="27A70A21"/>
    <w:rsid w:val="28041304"/>
    <w:rsid w:val="2D337633"/>
    <w:rsid w:val="2E4A3F3B"/>
    <w:rsid w:val="31054C4C"/>
    <w:rsid w:val="32D95C88"/>
    <w:rsid w:val="33530E62"/>
    <w:rsid w:val="356A6812"/>
    <w:rsid w:val="36105A65"/>
    <w:rsid w:val="385A4610"/>
    <w:rsid w:val="3BE61375"/>
    <w:rsid w:val="3C5E0F0F"/>
    <w:rsid w:val="406F7DF3"/>
    <w:rsid w:val="40E7547B"/>
    <w:rsid w:val="41894C7C"/>
    <w:rsid w:val="482D18F7"/>
    <w:rsid w:val="4B877337"/>
    <w:rsid w:val="5294535B"/>
    <w:rsid w:val="535A1EFE"/>
    <w:rsid w:val="54C32915"/>
    <w:rsid w:val="57226B35"/>
    <w:rsid w:val="57A829BC"/>
    <w:rsid w:val="60172210"/>
    <w:rsid w:val="642C22B4"/>
    <w:rsid w:val="674264B0"/>
    <w:rsid w:val="690F16AB"/>
    <w:rsid w:val="6AD35A58"/>
    <w:rsid w:val="6BB91652"/>
    <w:rsid w:val="6D9E70CC"/>
    <w:rsid w:val="6E8B52E0"/>
    <w:rsid w:val="6F3819F3"/>
    <w:rsid w:val="70EE100F"/>
    <w:rsid w:val="743B3902"/>
    <w:rsid w:val="74C701A5"/>
    <w:rsid w:val="75383CE8"/>
    <w:rsid w:val="75941F15"/>
    <w:rsid w:val="79503A53"/>
    <w:rsid w:val="7A965738"/>
    <w:rsid w:val="7C224C67"/>
    <w:rsid w:val="7C9B6754"/>
    <w:rsid w:val="7D5756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nhideWhenUsed="0" w:uiPriority="0" w:semiHidden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99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20" w:lineRule="exact"/>
    </w:pPr>
    <w:rPr>
      <w:rFonts w:ascii="仿宋_GB2312" w:eastAsia="仿宋_GB2312"/>
      <w:sz w:val="30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Plain Text"/>
    <w:basedOn w:val="1"/>
    <w:link w:val="14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footnote text"/>
    <w:basedOn w:val="1"/>
    <w:qFormat/>
    <w:uiPriority w:val="0"/>
    <w:pPr>
      <w:snapToGrid w:val="0"/>
      <w:jc w:val="left"/>
    </w:pPr>
    <w:rPr>
      <w:rFonts w:cs="宋体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9">
    <w:name w:val="Title"/>
    <w:basedOn w:val="1"/>
    <w:next w:val="1"/>
    <w:qFormat/>
    <w:uiPriority w:val="99"/>
    <w:pPr>
      <w:widowControl/>
      <w:spacing w:before="100" w:beforeAutospacing="1" w:after="300"/>
      <w:jc w:val="left"/>
    </w:pPr>
    <w:rPr>
      <w:color w:val="17365D"/>
      <w:kern w:val="0"/>
      <w:sz w:val="52"/>
      <w:szCs w:val="52"/>
    </w:rPr>
  </w:style>
  <w:style w:type="table" w:styleId="11">
    <w:name w:val="Table Grid"/>
    <w:basedOn w:val="10"/>
    <w:unhideWhenUsed/>
    <w:qFormat/>
    <w:uiPriority w:val="99"/>
    <w:rPr>
      <w:rFonts w:ascii="Calibri" w:hAnsi="Calibri" w:eastAsia="Times New Roman"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unhideWhenUsed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纯文本 Char"/>
    <w:basedOn w:val="12"/>
    <w:link w:val="4"/>
    <w:qFormat/>
    <w:uiPriority w:val="0"/>
    <w:rPr>
      <w:rFonts w:ascii="仿宋_GB2312"/>
      <w:kern w:val="2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4</Pages>
  <Words>1983</Words>
  <Characters>2012</Characters>
  <Lines>8</Lines>
  <Paragraphs>2</Paragraphs>
  <TotalTime>6</TotalTime>
  <ScaleCrop>false</ScaleCrop>
  <LinksUpToDate>false</LinksUpToDate>
  <CharactersWithSpaces>2055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2024-11-21T01:04:00Z</dcterms:created>
  <dc:creator>省科协人才部</dc:creator>
  <cp:lastModifiedBy>成凯</cp:lastModifiedBy>
  <cp:lastPrinted>2025-01-06T08:38:00Z</cp:lastPrinted>
  <dcterms:modified xsi:type="dcterms:W3CDTF">2026-03-04T08:21:15Z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72D94D87CD32451B8C7F72B2BA8B88D8_13</vt:lpwstr>
  </property>
  <property fmtid="{D5CDD505-2E9C-101B-9397-08002B2CF9AE}" pid="4" name="KSOTemplateDocerSaveRecord">
    <vt:lpwstr>eyJoZGlkIjoiMjhhZTg5YjE4MDNlMTYzZWJlZmQ0NTlhNTRkY2VlZmYiLCJ1c2VySWQiOiIzNjkwMzY4NjgifQ==</vt:lpwstr>
  </property>
</Properties>
</file>