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0" w:firstLine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0" w:firstLineChars="0"/>
        <w:jc w:val="center"/>
        <w:textAlignment w:val="auto"/>
        <w:outlineLvl w:val="9"/>
        <w:rPr>
          <w:rFonts w:hint="eastAsia" w:ascii="Times New Roman" w:hAnsi="Times New Roman" w:eastAsia="方正小标宋简体"/>
          <w:color w:val="auto"/>
          <w:sz w:val="44"/>
          <w:highlight w:val="none"/>
        </w:rPr>
      </w:pP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2025年度山东省人力资源社会保障课题</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选题指南</w:t>
      </w:r>
    </w:p>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0" w:firstLineChars="0"/>
        <w:jc w:val="center"/>
        <w:textAlignment w:val="auto"/>
        <w:outlineLvl w:val="9"/>
        <w:rPr>
          <w:rFonts w:ascii="Times New Roman" w:hAnsi="Times New Roman" w:eastAsia="黑体"/>
          <w:color w:val="auto"/>
          <w:sz w:val="32"/>
          <w:highlight w:val="none"/>
        </w:rPr>
      </w:pP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80" w:lineRule="exact"/>
        <w:ind w:left="0" w:leftChars="0" w:right="0" w:rightChars="0" w:firstLine="632"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lang w:val="en-US" w:eastAsia="zh-CN"/>
        </w:rPr>
        <w:t>一、重大课题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kern w:val="2"/>
          <w:sz w:val="32"/>
          <w:szCs w:val="24"/>
          <w:highlight w:val="none"/>
          <w:shd w:val="clear" w:fill="auto"/>
          <w:lang w:val="en-US" w:eastAsia="zh-CN" w:bidi="ar-SA"/>
        </w:rPr>
      </w:pPr>
      <w:r>
        <w:rPr>
          <w:rFonts w:hint="eastAsia" w:ascii="楷体_GB2312" w:hAnsi="楷体_GB2312" w:eastAsia="楷体_GB2312" w:cs="楷体_GB2312"/>
          <w:color w:val="auto"/>
          <w:kern w:val="2"/>
          <w:sz w:val="32"/>
          <w:szCs w:val="24"/>
          <w:highlight w:val="none"/>
          <w:shd w:val="clear" w:fill="auto"/>
          <w:lang w:val="en-US" w:eastAsia="zh-CN" w:bidi="ar-SA"/>
        </w:rPr>
        <w:t>（一）提振消费背景下新就业增长点研究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kern w:val="2"/>
          <w:sz w:val="32"/>
          <w:szCs w:val="24"/>
          <w:highlight w:val="none"/>
          <w:shd w:val="clear" w:fill="auto"/>
          <w:lang w:val="en-US" w:eastAsia="zh-CN" w:bidi="ar-SA"/>
        </w:rPr>
      </w:pPr>
      <w:r>
        <w:rPr>
          <w:rFonts w:hint="eastAsia" w:ascii="仿宋_GB2312" w:hAnsi="仿宋_GB2312" w:eastAsia="仿宋_GB2312" w:cs="仿宋_GB2312"/>
          <w:color w:val="auto"/>
          <w:sz w:val="32"/>
          <w:highlight w:val="none"/>
          <w:lang w:val="en-US" w:eastAsia="zh-CN"/>
        </w:rPr>
        <w:t>通过对提振消费领域及就业潜力研究，分析提振消费背景下就业增长的特征与趋势，深入挖掘提振消费背景下的新的就业增长点，研究提出提振消费与就业增长良性互动的对策建议，推动消费新热点转化为就业新渠道。</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580" w:lineRule="exact"/>
        <w:ind w:left="0" w:leftChars="0" w:right="0" w:rightChars="0" w:firstLine="632" w:firstLineChars="200"/>
        <w:jc w:val="both"/>
        <w:textAlignment w:val="auto"/>
        <w:outlineLvl w:val="9"/>
        <w:rPr>
          <w:rFonts w:hint="eastAsia" w:ascii="楷体_GB2312" w:hAnsi="楷体_GB2312" w:eastAsia="楷体_GB2312" w:cs="楷体_GB2312"/>
          <w:color w:val="auto"/>
          <w:highlight w:val="none"/>
          <w:shd w:val="clear" w:fill="auto"/>
          <w:lang w:val="en-US" w:eastAsia="zh-CN"/>
        </w:rPr>
      </w:pPr>
      <w:r>
        <w:rPr>
          <w:rFonts w:hint="eastAsia" w:ascii="楷体_GB2312" w:hAnsi="楷体_GB2312" w:eastAsia="楷体_GB2312" w:cs="楷体_GB2312"/>
          <w:color w:val="auto"/>
          <w:highlight w:val="none"/>
          <w:shd w:val="clear" w:fill="auto"/>
          <w:lang w:val="en-US" w:eastAsia="zh-CN"/>
        </w:rPr>
        <w:t>职业技能培训体制机制创新研究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深刻把握职业技能培训在促进就业、缓解就业结构性矛盾、助推产业升级中的积极作用，深入剖析制约我省职业技能培训高质量发展的难点堵点，在充分借鉴外省职业技能培训的有效模式及经验做法的基础上，聚焦职业培训师资队伍建设、市场培育、补贴性培训质量保证等，研究提出我省职业技能培训改革创新对策建议。</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80" w:lineRule="exact"/>
        <w:ind w:left="0" w:leftChars="0" w:right="0" w:rightChars="0" w:firstLine="632" w:firstLineChars="200"/>
        <w:jc w:val="both"/>
        <w:textAlignment w:val="auto"/>
        <w:outlineLvl w:val="9"/>
        <w:rPr>
          <w:rFonts w:hint="eastAsia" w:ascii="Times New Roman" w:hAnsi="Times New Roman" w:eastAsia="黑体" w:cs="黑体"/>
          <w:color w:val="auto"/>
          <w:szCs w:val="32"/>
          <w:highlight w:val="none"/>
          <w:lang w:val="en-US" w:eastAsia="zh-CN"/>
        </w:rPr>
      </w:pPr>
      <w:r>
        <w:rPr>
          <w:rFonts w:hint="eastAsia" w:ascii="Times New Roman" w:hAnsi="Times New Roman" w:eastAsia="黑体" w:cs="黑体"/>
          <w:color w:val="auto"/>
          <w:szCs w:val="32"/>
          <w:highlight w:val="none"/>
          <w:lang w:val="en-US" w:eastAsia="zh-CN"/>
        </w:rPr>
        <w:t>二、重点课题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41" w:firstLineChars="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（一）</w:t>
      </w:r>
      <w:r>
        <w:rPr>
          <w:rFonts w:hint="eastAsia" w:ascii="楷体_GB2312" w:hAnsi="楷体_GB2312" w:eastAsia="楷体_GB2312" w:cs="楷体_GB2312"/>
          <w:color w:val="auto"/>
          <w:sz w:val="32"/>
          <w:szCs w:val="32"/>
          <w:highlight w:val="none"/>
          <w:lang w:val="en-US" w:eastAsia="zh-CN"/>
        </w:rPr>
        <w:t>“十五五”时期经济社会发展对山东人社事业影响及对策研究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预测分析“十五五”时期国内外经济社会发展变革对山东人力资源社会保障事业带来的影响，研究就业创业、社会保障、人才人事、劳动关系等工作面临的机遇挑战和瓶颈制约，提出“十五五”时期山东人力资源社会保障事业高质量发展的重点任务、重大政策和对策建议。</w:t>
      </w:r>
    </w:p>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632" w:firstLineChars="200"/>
        <w:textAlignment w:val="auto"/>
        <w:outlineLvl w:val="9"/>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（二）全球产业链重构对就业的影响及应对策略研究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深入剖析全球产业链供应链重构的现状与趋势，精准洞察其对山东就业格局的影响，着重分析传统产业和新兴产业在就业规模、结构以及技能需求方面的变化态势，并据此提出切实可行的对策建议。</w:t>
      </w:r>
    </w:p>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632" w:firstLineChars="200"/>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（三）人力资源服务助力制造业高质量发展路径研究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聚焦制造业高质量发展的需求和人力资源服务的价值作用，通过调研研判人力资源服务助力制造业高质量发展存在的问题与挑战，总结提炼省内外人力资源服务助力制造业高质量发展的典型服务模式与实践案例，从制造业人力资源管理、制造业中小企业人力资源服务业、制造业国际化人力资源服务等角度，研究人力资源服务机构在制造业领域的专业化服务能力提升路径。</w:t>
      </w:r>
    </w:p>
    <w:p>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rightChars="0" w:firstLine="632" w:firstLineChars="200"/>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（四）新型城镇化背景下农村劳动力就业路径探究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在分析协同推进新型城镇化和乡村全面振兴意义的基础上，系统梳理省外农村劳动力就业模式和城镇化发展方式及山东农村劳动力就业历史进程，剖析当前山东农村劳动力就业面临的形势，探索提出破解农村劳动力就业结构性矛盾的路径和对策，为建成中国式现代化要求的农村劳动力就业齐鲁样板提供理论支撑。</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80" w:lineRule="exact"/>
        <w:ind w:left="0" w:leftChars="0" w:right="0" w:rightChars="0" w:firstLine="632" w:firstLineChars="200"/>
        <w:textAlignment w:val="auto"/>
        <w:outlineLvl w:val="9"/>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（五）企业职工养老保险“两率”提升路径研究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结合</w:t>
      </w:r>
      <w:r>
        <w:rPr>
          <w:rFonts w:hint="default" w:ascii="仿宋_GB2312" w:hAnsi="仿宋_GB2312" w:eastAsia="仿宋_GB2312" w:cs="仿宋_GB2312"/>
          <w:color w:val="auto"/>
          <w:sz w:val="32"/>
          <w:highlight w:val="none"/>
          <w:lang w:val="en-US" w:eastAsia="zh-CN"/>
        </w:rPr>
        <w:t>目前企业养老保险参保现状，通过实地调研、数据分析、案例研究等方式，深入分析企业养老保险参保面临的困难和问题，提出促进</w:t>
      </w:r>
      <w:r>
        <w:rPr>
          <w:rFonts w:hint="eastAsia" w:ascii="仿宋_GB2312" w:hAnsi="仿宋_GB2312" w:eastAsia="仿宋_GB2312" w:cs="仿宋_GB2312"/>
          <w:color w:val="auto"/>
          <w:sz w:val="32"/>
          <w:highlight w:val="none"/>
          <w:lang w:val="en-US" w:eastAsia="zh-CN"/>
        </w:rPr>
        <w:t>“两率”（缴</w:t>
      </w:r>
      <w:r>
        <w:rPr>
          <w:rFonts w:hint="default" w:ascii="仿宋_GB2312" w:hAnsi="仿宋_GB2312" w:eastAsia="仿宋_GB2312" w:cs="仿宋_GB2312"/>
          <w:color w:val="auto"/>
          <w:sz w:val="32"/>
          <w:highlight w:val="none"/>
          <w:lang w:val="en-US" w:eastAsia="zh-CN"/>
        </w:rPr>
        <w:t>费人数占应参保人数的比率、平均缴费工资占单位就业人员平均工资的比率</w:t>
      </w:r>
      <w:r>
        <w:rPr>
          <w:rFonts w:hint="eastAsia" w:ascii="仿宋_GB2312" w:hAnsi="仿宋_GB2312" w:eastAsia="仿宋_GB2312" w:cs="仿宋_GB2312"/>
          <w:color w:val="auto"/>
          <w:sz w:val="32"/>
          <w:highlight w:val="none"/>
          <w:lang w:val="en-US" w:eastAsia="zh-CN"/>
        </w:rPr>
        <w:t>）</w:t>
      </w:r>
      <w:r>
        <w:rPr>
          <w:rFonts w:hint="default" w:ascii="仿宋_GB2312" w:hAnsi="仿宋_GB2312" w:eastAsia="仿宋_GB2312" w:cs="仿宋_GB2312"/>
          <w:color w:val="auto"/>
          <w:sz w:val="32"/>
          <w:highlight w:val="none"/>
          <w:lang w:val="en-US" w:eastAsia="zh-CN"/>
        </w:rPr>
        <w:t>提升的有效措施，为优化我省养老保险参保结构、提升参保质效、促进养老保险制度平稳运行提供</w:t>
      </w:r>
      <w:r>
        <w:rPr>
          <w:rFonts w:hint="eastAsia" w:ascii="仿宋_GB2312" w:hAnsi="仿宋_GB2312" w:eastAsia="仿宋_GB2312" w:cs="仿宋_GB2312"/>
          <w:color w:val="auto"/>
          <w:sz w:val="32"/>
          <w:highlight w:val="none"/>
          <w:lang w:val="en-US" w:eastAsia="zh-CN"/>
        </w:rPr>
        <w:t>理论</w:t>
      </w:r>
      <w:r>
        <w:rPr>
          <w:rFonts w:hint="default" w:ascii="仿宋_GB2312" w:hAnsi="仿宋_GB2312" w:eastAsia="仿宋_GB2312" w:cs="仿宋_GB2312"/>
          <w:color w:val="auto"/>
          <w:sz w:val="32"/>
          <w:highlight w:val="none"/>
          <w:lang w:val="en-US" w:eastAsia="zh-CN"/>
        </w:rPr>
        <w:t>支撑。</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80" w:lineRule="exact"/>
        <w:ind w:left="0" w:leftChars="0" w:right="0" w:rightChars="0" w:firstLine="632" w:firstLineChars="200"/>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（六）</w:t>
      </w:r>
      <w:r>
        <w:rPr>
          <w:rFonts w:hint="eastAsia" w:ascii="楷体_GB2312" w:hAnsi="楷体_GB2312" w:eastAsia="楷体_GB2312" w:cs="楷体_GB2312"/>
          <w:color w:val="auto"/>
          <w:sz w:val="32"/>
          <w:szCs w:val="32"/>
          <w:highlight w:val="none"/>
          <w:lang w:val="en-US" w:eastAsia="zh-CN"/>
        </w:rPr>
        <w:t>超龄人员和实习学生等特定从业人员工伤保险实施现状研究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通过深入广泛调研，从参保从业单位、特定从业人员和人社部门角度了解特定从业人员参保、工伤认定、劳动能力鉴定、待遇支付等方面执行情况、面临的问题，以及未参保从业单位（超龄人员、实习学生等明显集聚的单位）存在的顾虑，在充分掌握实施现状并听取各方意见建议基础上，提出完善我省特定从业人员工伤保险的对策建议。</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（七）人工智能助推社保经办数字化、智能化转型研究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针对人工智能等新技术带来的机遇和挑战，围绕人工智能助推社保经办数字化、智能化转型的关键技术、实施路径、应用场景、安全保障等方面展开深入研究，提出符合山东实际的人工智能助推社保经办数字化、智能化转型路径，为推动创新社保经办服务体系提供理论支撑和实践指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highlight w:val="none"/>
          <w:shd w:val="clear" w:color="auto" w:fill="auto"/>
          <w:lang w:val="en-US" w:eastAsia="zh-CN"/>
        </w:rPr>
      </w:pPr>
      <w:r>
        <w:rPr>
          <w:rFonts w:hint="eastAsia" w:ascii="楷体_GB2312" w:hAnsi="楷体_GB2312" w:eastAsia="楷体_GB2312" w:cs="楷体_GB2312"/>
          <w:color w:val="auto"/>
          <w:kern w:val="2"/>
          <w:sz w:val="32"/>
          <w:szCs w:val="24"/>
          <w:highlight w:val="none"/>
          <w:shd w:val="clear" w:fill="auto"/>
          <w:lang w:val="en-US" w:eastAsia="zh-CN" w:bidi="ar-SA"/>
        </w:rPr>
        <w:t>（八）</w:t>
      </w:r>
      <w:r>
        <w:rPr>
          <w:rFonts w:hint="eastAsia" w:ascii="楷体_GB2312" w:hAnsi="楷体_GB2312" w:eastAsia="楷体_GB2312" w:cs="楷体_GB2312"/>
          <w:color w:val="auto"/>
          <w:sz w:val="32"/>
          <w:highlight w:val="none"/>
          <w:shd w:val="clear" w:color="auto" w:fill="auto"/>
          <w:lang w:val="en-US" w:eastAsia="zh-CN"/>
        </w:rPr>
        <w:t>济青都市圈人才协同联动开发及使用机制研究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通过深入分析济南、青岛都市圈区位发展优势和人才分布特点，聚焦人才引进、培养、使用全生命周期，剖析济青都市圈人才协同联动开发及使用壁垒，在借鉴省外先进经验基础上，提出济青都市圈人才协同联动开发及使用的实现路径和对策建议，构建</w:t>
      </w:r>
      <w:r>
        <w:rPr>
          <w:rFonts w:hint="default" w:ascii="仿宋_GB2312" w:hAnsi="仿宋_GB2312" w:eastAsia="仿宋_GB2312" w:cs="仿宋_GB2312"/>
          <w:color w:val="auto"/>
          <w:sz w:val="32"/>
          <w:highlight w:val="none"/>
          <w:lang w:val="en-US" w:eastAsia="zh-CN"/>
        </w:rPr>
        <w:t>合作共赢、优势互补、资源共享的“人才发展共同体”</w:t>
      </w:r>
      <w:r>
        <w:rPr>
          <w:rFonts w:hint="eastAsia" w:ascii="仿宋_GB2312" w:hAnsi="仿宋_GB2312" w:eastAsia="仿宋_GB2312" w:cs="仿宋_GB2312"/>
          <w:color w:val="auto"/>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（九）</w:t>
      </w:r>
      <w:r>
        <w:rPr>
          <w:rFonts w:hint="eastAsia" w:ascii="楷体_GB2312" w:hAnsi="楷体_GB2312" w:eastAsia="楷体_GB2312" w:cs="楷体_GB2312"/>
          <w:color w:val="auto"/>
          <w:sz w:val="32"/>
          <w:szCs w:val="32"/>
          <w:highlight w:val="none"/>
        </w:rPr>
        <w:t>人才支撑乡村全面振兴的路径研究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深入分析人才要素对乡村产业、文化、生态振兴的核心驱动作用，围绕人才（本土能人、专业人才、青年人才等各类人才）培养路径机制、柔性引才与本地人才培育、数字化人才共享平台构建、乡土人才评价体系改革等方面开展研究，剖析城乡人才流动、乡村人才结构和乡村人才引育留用等方面的现状和存在问题，从完善人才激励政策、优化公共服务供给、健全职业发展通道等方面提出政策优化建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kern w:val="2"/>
          <w:sz w:val="32"/>
          <w:szCs w:val="24"/>
          <w:highlight w:val="none"/>
          <w:shd w:val="clear" w:fill="auto"/>
          <w:lang w:val="en-US" w:eastAsia="zh-CN" w:bidi="ar-SA"/>
        </w:rPr>
      </w:pPr>
      <w:r>
        <w:rPr>
          <w:rFonts w:hint="eastAsia" w:ascii="楷体_GB2312" w:hAnsi="楷体_GB2312" w:eastAsia="楷体_GB2312" w:cs="楷体_GB2312"/>
          <w:color w:val="auto"/>
          <w:kern w:val="2"/>
          <w:sz w:val="32"/>
          <w:szCs w:val="24"/>
          <w:highlight w:val="none"/>
          <w:shd w:val="clear" w:fill="auto"/>
          <w:lang w:val="en-US" w:eastAsia="zh-CN" w:bidi="ar-SA"/>
        </w:rPr>
        <w:t>（十）新时期技工院校“校中厂”“厂中校”模式的发展路径研究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分析新时期技工院校“校中厂”“厂中校”模式的价值意蕴和现实基础，剖析山东在技工院校“校中厂”“厂中校”模式发展中面临的现实困境，在借鉴省内外先进经验基础上，创新性提出具有山东特色的技工院校“校中厂”“厂中校”模式发展路径。</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（十一）</w:t>
      </w:r>
      <w:r>
        <w:rPr>
          <w:rFonts w:hint="eastAsia" w:ascii="楷体_GB2312" w:hAnsi="楷体_GB2312" w:eastAsia="楷体_GB2312" w:cs="楷体_GB2312"/>
          <w:color w:val="auto"/>
          <w:sz w:val="32"/>
          <w:szCs w:val="32"/>
          <w:highlight w:val="none"/>
          <w:lang w:eastAsia="zh-CN"/>
        </w:rPr>
        <w:t>县域数字人才发展现状及培育路径研究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深入研究分析山东县域数字经济、数字产业、数字人才的发展现况，剖析县域数字人才发展面临的困难及存在的问题，结合实际情况，提出山东县域数字人才培育的对策建议，为进一步落实好“人才引领县域高质量发展试点县数字人才赋能行动”提供理论支撑。</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（十二）数字经济背景下和谐劳动关系构建研究</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highlight w:val="none"/>
          <w:lang w:val="en-US" w:eastAsia="zh-CN"/>
        </w:rPr>
        <w:t>分析数字经济对劳动形态、用工方式、企业管理模式、劳动者权益保障等方面带来的影响和挑战，在借鉴外省先进经验做法的基础上，探索提出适应数字经济特点的劳动者权益保障机制以及适应数字经济特点的劳动用工管理模式和集体协商模式，建立多元化解纠纷机制，促进劳资双方互利共赢。</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80" w:lineRule="exact"/>
        <w:ind w:left="0" w:leftChars="0" w:right="0" w:rightChars="0" w:firstLine="632" w:firstLineChars="200"/>
        <w:jc w:val="both"/>
        <w:textAlignment w:val="auto"/>
        <w:outlineLvl w:val="9"/>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三、一般课题</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（一）就业创业</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highlight w:val="none"/>
          <w:lang w:val="en-US" w:eastAsia="zh-CN"/>
        </w:rPr>
        <w:t>1.</w:t>
      </w:r>
      <w:r>
        <w:rPr>
          <w:rFonts w:hint="eastAsia" w:ascii="仿宋_GB2312" w:hAnsi="仿宋_GB2312" w:eastAsia="仿宋_GB2312" w:cs="仿宋_GB2312"/>
          <w:color w:val="auto"/>
          <w:sz w:val="32"/>
          <w:szCs w:val="32"/>
          <w:highlight w:val="none"/>
          <w:lang w:val="en-US" w:eastAsia="zh-CN"/>
        </w:rPr>
        <w:t>人工智能发展对就业的影响及对策研究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316" w:rightChars="-10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2.人工智能在高校毕业生等青年群体求职择业中的应用研究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.高校毕业生离校后就业动态跟踪和服务路径研究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.建筑市场一线农民工用工现状及趋势分析</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.“专精特新”人力资源服务业培育建设研究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kern w:val="2"/>
          <w:sz w:val="32"/>
          <w:szCs w:val="22"/>
          <w:highlight w:val="none"/>
          <w:lang w:val="en-US" w:eastAsia="zh-CN" w:bidi="ar-SA"/>
        </w:rPr>
      </w:pP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22"/>
          <w:highlight w:val="none"/>
          <w:lang w:val="en-US" w:eastAsia="zh-CN" w:bidi="ar-SA"/>
        </w:rPr>
        <w:t>中国海洋人才市场（山东）高质量发展路径研究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cs="仿宋_GB2312"/>
          <w:color w:val="auto"/>
          <w:kern w:val="2"/>
          <w:sz w:val="32"/>
          <w:szCs w:val="22"/>
          <w:highlight w:val="none"/>
          <w:lang w:val="en-US" w:eastAsia="zh-CN" w:bidi="ar-SA"/>
        </w:rPr>
        <w:t>7</w:t>
      </w:r>
      <w:r>
        <w:rPr>
          <w:rFonts w:hint="eastAsia" w:ascii="仿宋_GB2312" w:hAnsi="仿宋_GB2312" w:eastAsia="仿宋_GB2312" w:cs="仿宋_GB2312"/>
          <w:color w:val="auto"/>
          <w:kern w:val="2"/>
          <w:sz w:val="32"/>
          <w:szCs w:val="22"/>
          <w:highlight w:val="none"/>
          <w:lang w:val="en-US" w:eastAsia="zh-CN" w:bidi="ar-SA"/>
        </w:rPr>
        <w:t>.</w:t>
      </w:r>
      <w:r>
        <w:rPr>
          <w:rFonts w:hint="eastAsia" w:ascii="仿宋_GB2312" w:hAnsi="仿宋_GB2312" w:eastAsia="仿宋_GB2312" w:cs="仿宋_GB2312"/>
          <w:color w:val="auto"/>
          <w:sz w:val="32"/>
          <w:highlight w:val="none"/>
          <w:lang w:val="en-US" w:eastAsia="zh-CN"/>
        </w:rPr>
        <w:t>公共就业人才服务系统高质量文化建设研究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cs="仿宋_GB2312"/>
          <w:color w:val="auto"/>
          <w:sz w:val="32"/>
          <w:highlight w:val="none"/>
          <w:lang w:val="en-US" w:eastAsia="zh-CN"/>
        </w:rPr>
        <w:t>8</w:t>
      </w:r>
      <w:r>
        <w:rPr>
          <w:rFonts w:hint="eastAsia" w:ascii="仿宋_GB2312" w:hAnsi="仿宋_GB2312" w:eastAsia="仿宋_GB2312" w:cs="仿宋_GB2312"/>
          <w:color w:val="auto"/>
          <w:sz w:val="32"/>
          <w:highlight w:val="none"/>
          <w:lang w:val="en-US" w:eastAsia="zh-CN"/>
        </w:rPr>
        <w:t>.社区微业助推就业创业实证研究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cs="仿宋_GB2312"/>
          <w:b w:val="0"/>
          <w:bCs w:val="0"/>
          <w:color w:val="auto"/>
          <w:sz w:val="32"/>
          <w:szCs w:val="32"/>
          <w:highlight w:val="none"/>
          <w:lang w:val="en-US" w:eastAsia="zh-CN"/>
        </w:rPr>
        <w:t>9</w:t>
      </w:r>
      <w:r>
        <w:rPr>
          <w:rFonts w:hint="eastAsia" w:ascii="仿宋_GB2312" w:hAnsi="仿宋_GB2312" w:cs="仿宋_GB2312"/>
          <w:color w:val="auto"/>
          <w:sz w:val="32"/>
          <w:highlight w:val="none"/>
          <w:lang w:val="en-US" w:eastAsia="zh-CN"/>
        </w:rPr>
        <w:t>.</w:t>
      </w:r>
      <w:r>
        <w:rPr>
          <w:rFonts w:hint="eastAsia" w:ascii="仿宋_GB2312" w:hAnsi="仿宋_GB2312" w:eastAsia="仿宋_GB2312" w:cs="仿宋_GB2312"/>
          <w:color w:val="auto"/>
          <w:sz w:val="32"/>
          <w:highlight w:val="none"/>
          <w:lang w:val="en-US" w:eastAsia="zh-CN"/>
        </w:rPr>
        <w:t>大学生就业创业赋能中心服务效能提升研究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Times New Roman" w:hAnsi="Times New Roman" w:cs="Times New Roman"/>
          <w:color w:val="auto"/>
          <w:sz w:val="32"/>
          <w:highlight w:val="none"/>
          <w:lang w:val="en-US" w:eastAsia="zh-CN"/>
        </w:rPr>
      </w:pPr>
      <w:r>
        <w:rPr>
          <w:rFonts w:hint="eastAsia" w:ascii="仿宋_GB2312" w:hAnsi="仿宋_GB2312" w:cs="仿宋_GB2312"/>
          <w:color w:val="auto"/>
          <w:sz w:val="32"/>
          <w:highlight w:val="none"/>
          <w:lang w:val="en-US" w:eastAsia="zh-CN"/>
        </w:rPr>
        <w:t>10</w:t>
      </w:r>
      <w:r>
        <w:rPr>
          <w:rFonts w:hint="eastAsia" w:ascii="仿宋_GB2312" w:hAnsi="仿宋_GB2312" w:eastAsia="仿宋_GB2312" w:cs="仿宋_GB2312"/>
          <w:color w:val="auto"/>
          <w:sz w:val="32"/>
          <w:highlight w:val="none"/>
          <w:lang w:val="en-US" w:eastAsia="zh-CN"/>
        </w:rPr>
        <w:t>.数字化背景下AI+创业服务</w:t>
      </w:r>
      <w:r>
        <w:rPr>
          <w:rFonts w:hint="eastAsia" w:ascii="Times New Roman" w:hAnsi="Times New Roman" w:eastAsia="仿宋_GB2312" w:cs="Times New Roman"/>
          <w:color w:val="auto"/>
          <w:sz w:val="32"/>
          <w:highlight w:val="none"/>
          <w:lang w:val="en-US" w:eastAsia="zh-CN"/>
        </w:rPr>
        <w:t>模式的探索和研究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lang w:val="en-US" w:eastAsia="zh-CN"/>
        </w:rPr>
        <w:t>.促进“双一流”高校毕业生集聚齐鲁路径研究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w:t>
      </w:r>
      <w:r>
        <w:rPr>
          <w:rFonts w:hint="eastAsia" w:ascii="仿宋_GB2312" w:hAnsi="仿宋_GB2312" w:cs="仿宋_GB2312"/>
          <w:color w:val="auto"/>
          <w:sz w:val="32"/>
          <w:highlight w:val="none"/>
          <w:lang w:val="en-US" w:eastAsia="zh-CN"/>
        </w:rPr>
        <w:t>2.</w:t>
      </w:r>
      <w:r>
        <w:rPr>
          <w:rFonts w:hint="eastAsia" w:ascii="仿宋_GB2312" w:hAnsi="仿宋_GB2312" w:eastAsia="仿宋_GB2312" w:cs="仿宋_GB2312"/>
          <w:color w:val="auto"/>
          <w:sz w:val="32"/>
          <w:highlight w:val="none"/>
          <w:lang w:val="en-US" w:eastAsia="zh-CN"/>
        </w:rPr>
        <w:t>数字平台经济下青年创业行为机理与政策响应研究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（二）社会保障</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1.新就业形态人员参加失业保险政策研究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2.发挥失业保险就业促进作用对策研究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3.完善工伤预防体系研究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4.共同富裕背景下城乡社会保险融合发展路径研究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5.延迟退休政策对参保扩面的现实挑战及应对策略研究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6.农民工参加企业职工基本养老保险现状及优化路径研究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7.共同富裕背景下城乡居民基本养老保险提质路径研究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8.新就业形态就业人员职业伤害保障水平对比研究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（三）人才人事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1.培育硬科技型留学人员创业企业路径研究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2.黄河流域省（区）高层次人才协同共育共用研究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3.人工智能赋能职称评审数字化转型路径研究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4.技工院校赋能技能型社会建设路径研究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5.加强高校毕业生学校教育和职业技能培训转化的研究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6.应用型高校与技工院校职业指导智能化转型路径研究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7.技能人才评价质量监管体系研究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8.山东省人事考试机构风险评估及预警研究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9.人工智能辅助人事考试命题研究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10.山东省专家服务基地作用发挥和量化评价体系建设研究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11.新时代高层次人才服务联盟建设研究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楷体_GB2312" w:hAnsi="楷体_GB2312" w:eastAsia="楷体_GB2312" w:cs="楷体_GB2312"/>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（四）劳动关系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1.劳动关系协调员队伍建设研究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2.劳动关系基层治理能力建设研究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 xml:space="preserve">  ——以探索产业链、供应链和谐劳动关系构建为视角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3.劳动监察促进内需消费机制研究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32" w:firstLineChars="200"/>
        <w:textAlignment w:val="auto"/>
        <w:rPr>
          <w:rFonts w:hint="default" w:ascii="楷体_GB2312" w:hAnsi="楷体_GB2312" w:eastAsia="楷体_GB2312" w:cs="楷体_GB2312"/>
          <w:color w:val="auto"/>
          <w:sz w:val="24"/>
          <w:szCs w:val="24"/>
          <w:lang w:val="en-US"/>
        </w:rPr>
      </w:pPr>
      <w:r>
        <w:rPr>
          <w:rFonts w:hint="eastAsia" w:ascii="仿宋_GB2312" w:hAnsi="仿宋_GB2312" w:eastAsia="仿宋_GB2312" w:cs="仿宋_GB2312"/>
          <w:color w:val="auto"/>
          <w:sz w:val="32"/>
          <w:highlight w:val="none"/>
          <w:lang w:val="en-US" w:eastAsia="zh-CN"/>
        </w:rPr>
        <w:t>4.超龄劳动者权益保障研究</w:t>
      </w:r>
      <w:bookmarkStart w:id="0" w:name="_GoBack"/>
      <w:bookmarkEnd w:id="0"/>
    </w:p>
    <w:sectPr>
      <w:pgSz w:w="11906" w:h="16838"/>
      <w:pgMar w:top="2098" w:right="1531" w:bottom="1814" w:left="1531" w:header="851" w:footer="1587" w:gutter="0"/>
      <w:cols w:space="0" w:num="1"/>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94FAF"/>
    <w:multiLevelType w:val="singleLevel"/>
    <w:tmpl w:val="22794FA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NDk4NDAzNmU1YWM5MDZiNWJhOWFkZjViMDBkY2QifQ=="/>
  </w:docVars>
  <w:rsids>
    <w:rsidRoot w:val="00000000"/>
    <w:rsid w:val="00044EF2"/>
    <w:rsid w:val="00AF4947"/>
    <w:rsid w:val="0119677B"/>
    <w:rsid w:val="02EE60F6"/>
    <w:rsid w:val="03C07382"/>
    <w:rsid w:val="04B213C1"/>
    <w:rsid w:val="05110522"/>
    <w:rsid w:val="058F525E"/>
    <w:rsid w:val="06C75A8A"/>
    <w:rsid w:val="09B63701"/>
    <w:rsid w:val="09FB55B8"/>
    <w:rsid w:val="0A2D7A8F"/>
    <w:rsid w:val="0AA40EAF"/>
    <w:rsid w:val="0C630154"/>
    <w:rsid w:val="0C932D42"/>
    <w:rsid w:val="0EEA48AC"/>
    <w:rsid w:val="0F40581B"/>
    <w:rsid w:val="0FC832CD"/>
    <w:rsid w:val="10042992"/>
    <w:rsid w:val="103233B6"/>
    <w:rsid w:val="10B4201D"/>
    <w:rsid w:val="112453F4"/>
    <w:rsid w:val="11B5604C"/>
    <w:rsid w:val="120C7C36"/>
    <w:rsid w:val="12BF3737"/>
    <w:rsid w:val="12CF313E"/>
    <w:rsid w:val="140E413A"/>
    <w:rsid w:val="145D4F96"/>
    <w:rsid w:val="15B74ADA"/>
    <w:rsid w:val="17C527F3"/>
    <w:rsid w:val="1D62455C"/>
    <w:rsid w:val="1E220F0E"/>
    <w:rsid w:val="1E63576F"/>
    <w:rsid w:val="1E965C58"/>
    <w:rsid w:val="1F8A4FBC"/>
    <w:rsid w:val="1FA15E62"/>
    <w:rsid w:val="205B4263"/>
    <w:rsid w:val="205C7FDB"/>
    <w:rsid w:val="2094311A"/>
    <w:rsid w:val="20A420AE"/>
    <w:rsid w:val="20C55B80"/>
    <w:rsid w:val="210C3BDD"/>
    <w:rsid w:val="214B42D7"/>
    <w:rsid w:val="231A179B"/>
    <w:rsid w:val="2479115B"/>
    <w:rsid w:val="24B30B11"/>
    <w:rsid w:val="24FF3D57"/>
    <w:rsid w:val="26492DAF"/>
    <w:rsid w:val="26D46B1D"/>
    <w:rsid w:val="277044D4"/>
    <w:rsid w:val="2810627B"/>
    <w:rsid w:val="28A349F9"/>
    <w:rsid w:val="29AA1DB7"/>
    <w:rsid w:val="29E93DFF"/>
    <w:rsid w:val="2A0C65CE"/>
    <w:rsid w:val="2A7C5978"/>
    <w:rsid w:val="2A810D6A"/>
    <w:rsid w:val="2ACE536A"/>
    <w:rsid w:val="2C932FD6"/>
    <w:rsid w:val="2EA1046C"/>
    <w:rsid w:val="2ED96145"/>
    <w:rsid w:val="2F4D42C5"/>
    <w:rsid w:val="2F9432ED"/>
    <w:rsid w:val="310E0E7D"/>
    <w:rsid w:val="33B97ED5"/>
    <w:rsid w:val="33C341A1"/>
    <w:rsid w:val="33CF6FEA"/>
    <w:rsid w:val="34D108E8"/>
    <w:rsid w:val="36A24542"/>
    <w:rsid w:val="37164F30"/>
    <w:rsid w:val="372E5DD5"/>
    <w:rsid w:val="382F62A9"/>
    <w:rsid w:val="39CE6256"/>
    <w:rsid w:val="3A1F234D"/>
    <w:rsid w:val="3A47057C"/>
    <w:rsid w:val="3BE22833"/>
    <w:rsid w:val="3C221C81"/>
    <w:rsid w:val="3C29300F"/>
    <w:rsid w:val="3C495460"/>
    <w:rsid w:val="3D583BAC"/>
    <w:rsid w:val="3EAD1CD6"/>
    <w:rsid w:val="3EC15781"/>
    <w:rsid w:val="41302BC3"/>
    <w:rsid w:val="428E5609"/>
    <w:rsid w:val="43972F54"/>
    <w:rsid w:val="44D77AAC"/>
    <w:rsid w:val="456F5F37"/>
    <w:rsid w:val="45886D8A"/>
    <w:rsid w:val="45B7168C"/>
    <w:rsid w:val="45D72C17"/>
    <w:rsid w:val="467F664E"/>
    <w:rsid w:val="47D46525"/>
    <w:rsid w:val="480706A9"/>
    <w:rsid w:val="482251E7"/>
    <w:rsid w:val="48407F97"/>
    <w:rsid w:val="487274B4"/>
    <w:rsid w:val="48DB38E3"/>
    <w:rsid w:val="49C83E68"/>
    <w:rsid w:val="4A1248E1"/>
    <w:rsid w:val="4BB80C43"/>
    <w:rsid w:val="4C470FF6"/>
    <w:rsid w:val="4CDC1013"/>
    <w:rsid w:val="4F125A3A"/>
    <w:rsid w:val="4F146A5E"/>
    <w:rsid w:val="4F161B19"/>
    <w:rsid w:val="4F6A386B"/>
    <w:rsid w:val="50184479"/>
    <w:rsid w:val="51AA579D"/>
    <w:rsid w:val="52497B10"/>
    <w:rsid w:val="52992424"/>
    <w:rsid w:val="5413655E"/>
    <w:rsid w:val="543C16DA"/>
    <w:rsid w:val="5531145B"/>
    <w:rsid w:val="556709D9"/>
    <w:rsid w:val="563B2D30"/>
    <w:rsid w:val="57911D3D"/>
    <w:rsid w:val="59656166"/>
    <w:rsid w:val="59C83A10"/>
    <w:rsid w:val="5A0A227A"/>
    <w:rsid w:val="5A296BA4"/>
    <w:rsid w:val="5D5061F6"/>
    <w:rsid w:val="5DCD7847"/>
    <w:rsid w:val="5E40626B"/>
    <w:rsid w:val="5EC724E8"/>
    <w:rsid w:val="5F4A2A6F"/>
    <w:rsid w:val="5F750196"/>
    <w:rsid w:val="5FC44C79"/>
    <w:rsid w:val="628C5F22"/>
    <w:rsid w:val="63091321"/>
    <w:rsid w:val="631F28F3"/>
    <w:rsid w:val="634265E1"/>
    <w:rsid w:val="63500CFE"/>
    <w:rsid w:val="677F6056"/>
    <w:rsid w:val="6A58493C"/>
    <w:rsid w:val="6ACE4BFE"/>
    <w:rsid w:val="6BCE4FEF"/>
    <w:rsid w:val="6D1A4FAB"/>
    <w:rsid w:val="6FD25C22"/>
    <w:rsid w:val="700F345E"/>
    <w:rsid w:val="70946F38"/>
    <w:rsid w:val="70A4560E"/>
    <w:rsid w:val="71463740"/>
    <w:rsid w:val="719E1176"/>
    <w:rsid w:val="71AF7537"/>
    <w:rsid w:val="724C5877"/>
    <w:rsid w:val="7250318F"/>
    <w:rsid w:val="73426189"/>
    <w:rsid w:val="7380608B"/>
    <w:rsid w:val="753B6CA1"/>
    <w:rsid w:val="754B7119"/>
    <w:rsid w:val="761E4C8C"/>
    <w:rsid w:val="77E934CE"/>
    <w:rsid w:val="78100732"/>
    <w:rsid w:val="78363059"/>
    <w:rsid w:val="78414C61"/>
    <w:rsid w:val="78CC09CF"/>
    <w:rsid w:val="7A3B378F"/>
    <w:rsid w:val="7B745A72"/>
    <w:rsid w:val="7BC02341"/>
    <w:rsid w:val="7E355268"/>
    <w:rsid w:val="7F3C6183"/>
    <w:rsid w:val="B7BF32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index 6"/>
    <w:basedOn w:val="1"/>
    <w:next w:val="1"/>
    <w:qFormat/>
    <w:uiPriority w:val="0"/>
    <w:pPr>
      <w:ind w:firstLine="840"/>
    </w:pPr>
    <w:rPr>
      <w:rFonts w:ascii="Times New Roman" w:hAnsi="Times New Roman" w:cs="Arial"/>
    </w:rPr>
  </w:style>
  <w:style w:type="paragraph" w:styleId="5">
    <w:name w:val="Body Text"/>
    <w:basedOn w:val="1"/>
    <w:next w:val="2"/>
    <w:qFormat/>
    <w:uiPriority w:val="0"/>
    <w:pPr>
      <w:spacing w:after="120" w:afterLines="0" w:afterAutospacing="0"/>
    </w:pPr>
  </w:style>
  <w:style w:type="paragraph" w:styleId="6">
    <w:name w:val="Body Text First Indent"/>
    <w:basedOn w:val="5"/>
    <w:next w:val="4"/>
    <w:qFormat/>
    <w:uiPriority w:val="0"/>
    <w:pPr>
      <w:spacing w:before="100" w:beforeAutospacing="1"/>
      <w:ind w:firstLine="420" w:firstLineChars="1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3125</Words>
  <Characters>3184</Characters>
  <Lines>0</Lines>
  <Paragraphs>0</Paragraphs>
  <TotalTime>0</TotalTime>
  <ScaleCrop>false</ScaleCrop>
  <LinksUpToDate>false</LinksUpToDate>
  <CharactersWithSpaces>3240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2024-04-11T14:07:00Z</dcterms:created>
  <dc:creator>Administrator</dc:creator>
  <cp:lastModifiedBy>可能比较闲</cp:lastModifiedBy>
  <cp:lastPrinted>2025-04-02T14:11:00Z</cp:lastPrinted>
  <dcterms:modified xsi:type="dcterms:W3CDTF">2025-04-07T12:48:51Z</dcterms:modified>
  <dc:title>山东省人力资源和社会保障厅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33E32FA634884A70A8F88D80A83E26F4_12</vt:lpwstr>
  </property>
  <property fmtid="{D5CDD505-2E9C-101B-9397-08002B2CF9AE}" pid="4" name="KSOTemplateDocerSaveRecord">
    <vt:lpwstr>eyJoZGlkIjoiZjZmYzhlZmQxZmYwYzBkNmNjN2EzNzUzNzg1MzY0MjIiLCJ1c2VySWQiOiI0NjgwODQ2NTMifQ==</vt:lpwstr>
  </property>
</Properties>
</file>