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6E" w:rsidRDefault="0090716E" w:rsidP="0090716E">
      <w:pPr>
        <w:pStyle w:val="a3"/>
        <w:spacing w:before="0" w:beforeAutospacing="0" w:after="0" w:afterAutospacing="0" w:line="600" w:lineRule="atLeast"/>
        <w:jc w:val="center"/>
        <w:rPr>
          <w:color w:val="000000"/>
          <w:sz w:val="18"/>
          <w:szCs w:val="18"/>
        </w:rPr>
      </w:pPr>
      <w:r>
        <w:rPr>
          <w:rFonts w:ascii="华文中宋" w:eastAsia="华文中宋" w:hAnsi="华文中宋" w:hint="eastAsia"/>
          <w:color w:val="000000"/>
          <w:sz w:val="36"/>
          <w:szCs w:val="36"/>
        </w:rPr>
        <w:t>高等学校哲学社会科学繁荣计划专项资金</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华文中宋" w:eastAsia="华文中宋" w:hAnsi="华文中宋" w:hint="eastAsia"/>
          <w:color w:val="000000"/>
          <w:sz w:val="36"/>
          <w:szCs w:val="36"/>
        </w:rPr>
        <w:t>管理办法</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华文中宋" w:eastAsia="华文中宋" w:hAnsi="华文中宋" w:hint="eastAsia"/>
          <w:color w:val="000000"/>
          <w:sz w:val="44"/>
          <w:szCs w:val="44"/>
        </w:rPr>
        <w:t> </w:t>
      </w:r>
      <w:r>
        <w:rPr>
          <w:rFonts w:ascii="黑体" w:eastAsia="黑体" w:hAnsi="黑体" w:hint="eastAsia"/>
          <w:color w:val="000000"/>
          <w:sz w:val="32"/>
          <w:szCs w:val="32"/>
        </w:rPr>
        <w:t>第一章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总</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则</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第一条</w:t>
      </w:r>
      <w:r>
        <w:rPr>
          <w:rStyle w:val="apple-converted-space"/>
          <w:rFonts w:hint="eastAsia"/>
          <w:color w:val="000000"/>
          <w:sz w:val="32"/>
          <w:szCs w:val="32"/>
        </w:rPr>
        <w:t> </w:t>
      </w:r>
      <w:r>
        <w:rPr>
          <w:rFonts w:ascii="仿宋_GB2312" w:eastAsia="仿宋_GB2312" w:hint="eastAsia"/>
          <w:color w:val="000000"/>
          <w:sz w:val="32"/>
          <w:szCs w:val="32"/>
        </w:rPr>
        <w:t>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第二条</w:t>
      </w:r>
      <w:r>
        <w:rPr>
          <w:rStyle w:val="apple-converted-space"/>
          <w:rFonts w:hint="eastAsia"/>
          <w:color w:val="000000"/>
          <w:sz w:val="32"/>
          <w:szCs w:val="32"/>
        </w:rPr>
        <w:t> </w:t>
      </w:r>
      <w:r>
        <w:rPr>
          <w:rFonts w:ascii="仿宋_GB2312" w:eastAsia="仿宋_GB2312" w:hint="eastAsia"/>
          <w:color w:val="000000"/>
          <w:sz w:val="32"/>
          <w:szCs w:val="32"/>
        </w:rPr>
        <w:t>繁荣计划专项资金由中央财政安排，是用于支持“高等学校哲学社会科学繁荣计划”（以下简称繁荣计划）社会科学研究、学科发展、人才培养和队伍建设的专项资金。</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第三条</w:t>
      </w:r>
      <w:r>
        <w:rPr>
          <w:rStyle w:val="apple-converted-space"/>
          <w:rFonts w:hint="eastAsia"/>
          <w:color w:val="000000"/>
          <w:sz w:val="32"/>
          <w:szCs w:val="32"/>
        </w:rPr>
        <w:t> </w:t>
      </w:r>
      <w:r>
        <w:rPr>
          <w:rFonts w:ascii="仿宋_GB2312" w:eastAsia="仿宋_GB2312" w:hint="eastAsia"/>
          <w:color w:val="000000"/>
          <w:sz w:val="32"/>
          <w:szCs w:val="32"/>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第四条</w:t>
      </w:r>
      <w:r>
        <w:rPr>
          <w:rStyle w:val="apple-converted-space"/>
          <w:rFonts w:hint="eastAsia"/>
          <w:color w:val="000000"/>
          <w:sz w:val="32"/>
          <w:szCs w:val="32"/>
        </w:rPr>
        <w:t> </w:t>
      </w:r>
      <w:r>
        <w:rPr>
          <w:rFonts w:ascii="仿宋_GB2312" w:eastAsia="仿宋_GB2312" w:hint="eastAsia"/>
          <w:color w:val="000000"/>
          <w:sz w:val="32"/>
          <w:szCs w:val="32"/>
        </w:rPr>
        <w:t>财政部、教育部负责制定繁荣计划专项资金管理制度，研究制定预算安排的总体方案。教育部负责编制繁</w:t>
      </w:r>
      <w:r>
        <w:rPr>
          <w:rFonts w:ascii="仿宋_GB2312" w:eastAsia="仿宋_GB2312" w:hint="eastAsia"/>
          <w:color w:val="000000"/>
          <w:sz w:val="32"/>
          <w:szCs w:val="32"/>
        </w:rPr>
        <w:lastRenderedPageBreak/>
        <w:t>荣计划专项资金年度预算、组织实施和管理监督工作，建立健全项目绩效考评机制。</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第五条</w:t>
      </w:r>
      <w:r>
        <w:rPr>
          <w:rStyle w:val="apple-converted-space"/>
          <w:rFonts w:hint="eastAsia"/>
          <w:color w:val="000000"/>
          <w:sz w:val="32"/>
          <w:szCs w:val="32"/>
        </w:rPr>
        <w:t> </w:t>
      </w:r>
      <w:r>
        <w:rPr>
          <w:rFonts w:ascii="仿宋_GB2312" w:eastAsia="仿宋_GB2312" w:hint="eastAsia"/>
          <w:color w:val="000000"/>
          <w:sz w:val="32"/>
          <w:szCs w:val="32"/>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项目依托学校的财务和科研管理等相关部门，要根据学科特点和实际需要,加强对项目预算执行和资金使用的指导；注重科学管理、改进服务，为项目实施提供条件保障。</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第六条</w:t>
      </w:r>
      <w:r>
        <w:rPr>
          <w:rStyle w:val="apple-converted-space"/>
          <w:rFonts w:hint="eastAsia"/>
          <w:color w:val="000000"/>
          <w:sz w:val="32"/>
          <w:szCs w:val="32"/>
        </w:rPr>
        <w:t> </w:t>
      </w:r>
      <w:r>
        <w:rPr>
          <w:rFonts w:ascii="仿宋_GB2312" w:eastAsia="仿宋_GB2312" w:hint="eastAsia"/>
          <w:color w:val="000000"/>
          <w:sz w:val="32"/>
          <w:szCs w:val="32"/>
        </w:rPr>
        <w:t>项目负责人是项目管理和资金使用的直接责任人，应当按照本办法规定，科学编制项目预算和决算，合理合规使用资金。</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项目负责人应当严格遵守国家预算和财务管理规定，对资金使用和项目实施的合规性、合理性、真实性和相关性负责，并承担相应的经济与法律责任。</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t>第二章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支出范围</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第七条</w:t>
      </w:r>
      <w:r>
        <w:rPr>
          <w:rStyle w:val="apple-converted-space"/>
          <w:rFonts w:hint="eastAsia"/>
          <w:color w:val="000000"/>
          <w:sz w:val="32"/>
          <w:szCs w:val="32"/>
        </w:rPr>
        <w:t> </w:t>
      </w:r>
      <w:r>
        <w:rPr>
          <w:rFonts w:ascii="仿宋_GB2312" w:eastAsia="仿宋_GB2312" w:hint="eastAsia"/>
          <w:color w:val="000000"/>
          <w:sz w:val="32"/>
          <w:szCs w:val="32"/>
        </w:rPr>
        <w:t>繁荣计划专项资金分为研究项目资金、非研究项目资金和管理资金。</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第八条</w:t>
      </w:r>
      <w:r>
        <w:rPr>
          <w:rStyle w:val="apple-converted-space"/>
          <w:rFonts w:hint="eastAsia"/>
          <w:color w:val="000000"/>
          <w:sz w:val="32"/>
          <w:szCs w:val="32"/>
        </w:rPr>
        <w:t> </w:t>
      </w:r>
      <w:r>
        <w:rPr>
          <w:rFonts w:ascii="仿宋_GB2312" w:eastAsia="仿宋_GB2312" w:hint="eastAsia"/>
          <w:color w:val="000000"/>
          <w:sz w:val="32"/>
          <w:szCs w:val="32"/>
        </w:rPr>
        <w:t>本办法第七条所称研究项目是指围绕繁荣计划建设任务设立的各类高校哲学社会科学研究项目的总称。</w:t>
      </w:r>
      <w:r>
        <w:rPr>
          <w:rFonts w:ascii="仿宋_GB2312" w:eastAsia="仿宋_GB2312" w:hint="eastAsia"/>
          <w:color w:val="000000"/>
          <w:sz w:val="32"/>
          <w:szCs w:val="32"/>
        </w:rPr>
        <w:lastRenderedPageBreak/>
        <w:t>研究项目资金包括在项目研究过程中发生的直接费用和间接费用。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第九条</w:t>
      </w:r>
      <w:r>
        <w:rPr>
          <w:rStyle w:val="apple-converted-space"/>
          <w:rFonts w:hint="eastAsia"/>
          <w:color w:val="000000"/>
          <w:sz w:val="32"/>
          <w:szCs w:val="32"/>
        </w:rPr>
        <w:t> </w:t>
      </w:r>
      <w:r>
        <w:rPr>
          <w:rFonts w:ascii="仿宋_GB2312" w:eastAsia="仿宋_GB2312" w:hint="eastAsia"/>
          <w:color w:val="000000"/>
          <w:sz w:val="32"/>
          <w:szCs w:val="32"/>
        </w:rPr>
        <w:t>直接费用包括图书资料费、数据采集费、会议费/差旅费/国际合作与交流费、设备费、专家咨询费、劳务费、印刷费/宣传费等。其中：</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图书资料费：指在项目研究过程中购买必要的图书（包括外文图书）、专业软件，资料收集、整理、录入、复印、翻拍、翻译，文献检索等费用。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数据采集费：指在项目研究过程中开展问卷调查、田野调查、数据购买、数据分析及相应技术服务购买等费用。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设备费：指在项目研究过程中购置设备和设备耗材、升级维护现有设备以及租用外单位设备而发生的费用。应当严格控制设备购置，鼓励共享、租赁以及对现有设备进行升级改造。</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lastRenderedPageBreak/>
        <w:t>专家咨询费：指在项目研究过程中支付给临时聘请的咨询专家的费用。专家咨询费由项目负责人按照项目研究实际需要编制，支出标准按照国家有关规定执行。</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印刷费/宣传费：指在项目研究过程中支付的打印、印刷和出版、成果推介等费用。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其他：指与项目研究直接相关的除上述费用之外的其他支出。其他支出应当在项目预算中单独列示，单独核定。</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间接费用一般按照不超过项目支出总额的一定比例核定。具体比例如下：50万元及以下部分为30%；超过50万</w:t>
      </w:r>
      <w:r>
        <w:rPr>
          <w:rFonts w:ascii="仿宋_GB2312" w:eastAsia="仿宋_GB2312" w:hint="eastAsia"/>
          <w:color w:val="000000"/>
          <w:sz w:val="32"/>
          <w:szCs w:val="32"/>
        </w:rPr>
        <w:lastRenderedPageBreak/>
        <w:t>元至500万元的部分为20%；超过500万元的部分为13%。严禁超额提取、变相提取和重复提取。</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第十一条</w:t>
      </w:r>
      <w:r>
        <w:rPr>
          <w:rStyle w:val="apple-converted-space"/>
          <w:rFonts w:hint="eastAsia"/>
          <w:color w:val="000000"/>
          <w:sz w:val="32"/>
          <w:szCs w:val="32"/>
        </w:rPr>
        <w:t> </w:t>
      </w:r>
      <w:r>
        <w:rPr>
          <w:rFonts w:ascii="仿宋_GB2312" w:eastAsia="仿宋_GB2312" w:hint="eastAsia"/>
          <w:color w:val="000000"/>
          <w:sz w:val="32"/>
          <w:szCs w:val="32"/>
        </w:rPr>
        <w:t>非研究项目资金指支撑高校哲学社会科学科研机构、团队以及智库运行、优秀成果奖励等繁荣计划建设项目的资金。</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非研究项目资金按照“绩效导向、稳定支持、协议管理、动态调整”的原则进行资助和管理，可以通过第三方评估将相关优秀的研究机构（或者智库、团队）纳入资助范围。</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教育部与依托学校、受资助研究机构（或者智库、团队）约定建设周期内的目标任务，委托第三方进行评价考核，根</w:t>
      </w:r>
      <w:r>
        <w:rPr>
          <w:rFonts w:ascii="仿宋_GB2312" w:eastAsia="仿宋_GB2312" w:hint="eastAsia"/>
          <w:color w:val="000000"/>
          <w:sz w:val="32"/>
          <w:szCs w:val="32"/>
        </w:rPr>
        <w:lastRenderedPageBreak/>
        <w:t>据实际绩效实行有差别的稳定支持，并采取优胜劣汰、动态调整的管理方式。</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财政部、教育部按规定对获得教育部科学研究优秀成果奖（人文社会科学）的成果进行奖励，对被采用和向有关部门报送的有价值、高水平的咨政成果实行后期资助和事后奖励。学校不得对奖励资金提取间接费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第十二条</w:t>
      </w:r>
      <w:r>
        <w:rPr>
          <w:rStyle w:val="apple-converted-space"/>
          <w:rFonts w:hint="eastAsia"/>
          <w:color w:val="000000"/>
          <w:sz w:val="32"/>
          <w:szCs w:val="32"/>
        </w:rPr>
        <w:t> </w:t>
      </w:r>
      <w:r>
        <w:rPr>
          <w:rFonts w:ascii="仿宋_GB2312" w:eastAsia="仿宋_GB2312" w:hint="eastAsia"/>
          <w:color w:val="000000"/>
          <w:sz w:val="32"/>
          <w:szCs w:val="32"/>
        </w:rPr>
        <w:t>管理资金是指教育部在实施繁荣计划过程中组织、协调、评审、鉴定等管理性工作所需费用。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在繁荣计划实施过程中，应按照“管、办、评”分离原则，推进政府购买服务，规范向社会力量购买服务的程序和方式，切实转变政府职能。</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第十三条</w:t>
      </w:r>
      <w:r>
        <w:rPr>
          <w:rStyle w:val="apple-converted-space"/>
          <w:rFonts w:hint="eastAsia"/>
          <w:color w:val="000000"/>
          <w:sz w:val="32"/>
          <w:szCs w:val="32"/>
        </w:rPr>
        <w:t> </w:t>
      </w:r>
      <w:r>
        <w:rPr>
          <w:rFonts w:ascii="仿宋_GB2312" w:eastAsia="仿宋_GB2312" w:hint="eastAsia"/>
          <w:color w:val="000000"/>
          <w:sz w:val="32"/>
          <w:szCs w:val="32"/>
        </w:rPr>
        <w:t>繁荣计划专项资金项目中的相关开支标准，按照国家以及项目依托学校的有关规定执行。</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第十四条</w:t>
      </w:r>
      <w:r>
        <w:rPr>
          <w:rStyle w:val="apple-converted-space"/>
          <w:rFonts w:hint="eastAsia"/>
          <w:color w:val="000000"/>
          <w:sz w:val="32"/>
          <w:szCs w:val="32"/>
        </w:rPr>
        <w:t> </w:t>
      </w:r>
      <w:r>
        <w:rPr>
          <w:rFonts w:ascii="仿宋_GB2312" w:eastAsia="仿宋_GB2312" w:hint="eastAsia"/>
          <w:color w:val="000000"/>
          <w:sz w:val="32"/>
          <w:szCs w:val="32"/>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lastRenderedPageBreak/>
        <w:t>第三章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预算管理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第十五条</w:t>
      </w:r>
      <w:r>
        <w:rPr>
          <w:rStyle w:val="apple-converted-space"/>
          <w:rFonts w:hint="eastAsia"/>
          <w:color w:val="000000"/>
          <w:sz w:val="32"/>
          <w:szCs w:val="32"/>
        </w:rPr>
        <w:t> </w:t>
      </w:r>
      <w:r>
        <w:rPr>
          <w:rFonts w:ascii="仿宋_GB2312" w:eastAsia="仿宋_GB2312" w:hint="eastAsia"/>
          <w:color w:val="000000"/>
          <w:sz w:val="32"/>
          <w:szCs w:val="32"/>
        </w:rPr>
        <w:t>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第十六条</w:t>
      </w:r>
      <w:r>
        <w:rPr>
          <w:rStyle w:val="apple-converted-space"/>
          <w:rFonts w:hint="eastAsia"/>
          <w:color w:val="000000"/>
          <w:sz w:val="32"/>
          <w:szCs w:val="32"/>
        </w:rPr>
        <w:t> </w:t>
      </w:r>
      <w:r>
        <w:rPr>
          <w:rFonts w:ascii="仿宋_GB2312" w:eastAsia="仿宋_GB2312" w:hint="eastAsia"/>
          <w:color w:val="000000"/>
          <w:sz w:val="32"/>
          <w:szCs w:val="32"/>
        </w:rPr>
        <w:t>教育部根据繁荣计划建设目标和建设内容，重点对项目预算的目标相关性、政策相符性、经济合理性进行评审。应建立评审专家库，建立和完善评审专家的遴选、回避、信用和问责制度。</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第十七条</w:t>
      </w:r>
      <w:r>
        <w:rPr>
          <w:rStyle w:val="apple-converted-space"/>
          <w:rFonts w:hint="eastAsia"/>
          <w:color w:val="000000"/>
          <w:sz w:val="32"/>
          <w:szCs w:val="32"/>
        </w:rPr>
        <w:t> </w:t>
      </w:r>
      <w:r>
        <w:rPr>
          <w:rFonts w:ascii="仿宋_GB2312" w:eastAsia="仿宋_GB2312" w:hint="eastAsia"/>
          <w:color w:val="000000"/>
          <w:sz w:val="32"/>
          <w:szCs w:val="32"/>
        </w:rPr>
        <w:t>教育部根据部门预算编制要求，在部门预算“一上”时，将繁荣计划专项资金三年支出规划和年度预算建议数报送财政部，财政部按部门预算程序审核后批复年度预算。</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第十八条</w:t>
      </w:r>
      <w:r>
        <w:rPr>
          <w:rStyle w:val="apple-converted-space"/>
          <w:rFonts w:hint="eastAsia"/>
          <w:color w:val="000000"/>
          <w:sz w:val="32"/>
          <w:szCs w:val="32"/>
        </w:rPr>
        <w:t> </w:t>
      </w:r>
      <w:r>
        <w:rPr>
          <w:rFonts w:ascii="仿宋_GB2312" w:eastAsia="仿宋_GB2312" w:hint="eastAsia"/>
          <w:color w:val="000000"/>
          <w:sz w:val="32"/>
          <w:szCs w:val="32"/>
        </w:rPr>
        <w:t>教育部根据繁荣计划项目类别和完成期限向项目依托学校下达项目预算。其中，研究项目预算一次核定、按年度分期分批下达。未通过年度或中期检查的，停止</w:t>
      </w:r>
      <w:r>
        <w:rPr>
          <w:rFonts w:ascii="仿宋_GB2312" w:eastAsia="仿宋_GB2312" w:hint="eastAsia"/>
          <w:color w:val="000000"/>
          <w:sz w:val="32"/>
          <w:szCs w:val="32"/>
        </w:rPr>
        <w:lastRenderedPageBreak/>
        <w:t>下达下一年度后续项目预算；非研究项目资金采取一次核定、按年度一次性下达。</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繁荣计划专项资金支付按照国库集中支付制度有关规定执行。</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第十九条</w:t>
      </w:r>
      <w:r>
        <w:rPr>
          <w:rStyle w:val="apple-converted-space"/>
          <w:rFonts w:hint="eastAsia"/>
          <w:color w:val="000000"/>
          <w:sz w:val="32"/>
          <w:szCs w:val="32"/>
        </w:rPr>
        <w:t> </w:t>
      </w:r>
      <w:r>
        <w:rPr>
          <w:rFonts w:ascii="仿宋_GB2312" w:eastAsia="仿宋_GB2312" w:hint="eastAsia"/>
          <w:color w:val="000000"/>
          <w:sz w:val="32"/>
          <w:szCs w:val="32"/>
        </w:rPr>
        <w:t>项目依托学校应当将资金纳入学校财务部门统一管理。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学校应当指导项目负责人科学合理编制预算，规范预算调剂程序，完善项目资金支出、报销审核监督制度，加强对专家咨询费、劳务费、外拨资金、间接费用、结转结余资金等的审核和管理。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学校应当强化对合作项目真实性、可行性和合规性的审核，严格防止虚假资源匹配和虚假合作，坚决杜绝假借合作名义骗取资金。</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学校应当建立健全科研财务助理制度，为科研人员在项目预算编制和调剂、资金支出、项目资金决算和验收等方面提供专业化服务。充分利用信息化手段，建立健全单位内部</w:t>
      </w:r>
      <w:r>
        <w:rPr>
          <w:rFonts w:ascii="仿宋_GB2312" w:eastAsia="仿宋_GB2312" w:hint="eastAsia"/>
          <w:color w:val="000000"/>
          <w:sz w:val="32"/>
          <w:szCs w:val="32"/>
        </w:rPr>
        <w:lastRenderedPageBreak/>
        <w:t>科研、财务、项目负责人共享的信息平台，提高科研管理效率和便利化程度。</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第二十条</w:t>
      </w:r>
      <w:r>
        <w:rPr>
          <w:rStyle w:val="apple-converted-space"/>
          <w:rFonts w:hint="eastAsia"/>
          <w:color w:val="000000"/>
          <w:sz w:val="32"/>
          <w:szCs w:val="32"/>
        </w:rPr>
        <w:t> </w:t>
      </w:r>
      <w:r>
        <w:rPr>
          <w:rFonts w:ascii="仿宋_GB2312" w:eastAsia="仿宋_GB2312" w:hint="eastAsia"/>
          <w:color w:val="000000"/>
          <w:sz w:val="32"/>
          <w:szCs w:val="32"/>
        </w:rPr>
        <w:t>项目预算一经批复，必须严格执行。确需调剂的，应当按规定报批。</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由于研究内容或者研究计划作出重大调整等原因，确需增加或减少预算总额的，由依托学校审核同意后报教育部审批。</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在项目预算总额不变的情况下，支出科目和金额确需调剂的，由项目负责人根据实际需要提出调剂申请，报依托学校审批。会议费/差旅费/国际合作与交流费、劳务费、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第二十一条</w:t>
      </w:r>
      <w:r>
        <w:rPr>
          <w:rStyle w:val="apple-converted-space"/>
          <w:rFonts w:hint="eastAsia"/>
          <w:color w:val="000000"/>
          <w:sz w:val="32"/>
          <w:szCs w:val="32"/>
        </w:rPr>
        <w:t> </w:t>
      </w:r>
      <w:r>
        <w:rPr>
          <w:rFonts w:ascii="仿宋_GB2312" w:eastAsia="仿宋_GB2312" w:hint="eastAsia"/>
          <w:color w:val="000000"/>
          <w:sz w:val="32"/>
          <w:szCs w:val="32"/>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对于野外考察、数据采集等科研活动中无法取得发票或财政性票据的支出，在确保真实性的前提下，依托学校可按实际发生额予以报销。</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lastRenderedPageBreak/>
        <w:t>第四章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决算管理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第二十二条</w:t>
      </w:r>
      <w:r>
        <w:rPr>
          <w:rStyle w:val="apple-converted-space"/>
          <w:rFonts w:hint="eastAsia"/>
          <w:color w:val="000000"/>
          <w:sz w:val="32"/>
          <w:szCs w:val="32"/>
        </w:rPr>
        <w:t> </w:t>
      </w:r>
      <w:r>
        <w:rPr>
          <w:rFonts w:ascii="仿宋_GB2312" w:eastAsia="仿宋_GB2312" w:hint="eastAsia"/>
          <w:color w:val="000000"/>
          <w:sz w:val="32"/>
          <w:szCs w:val="32"/>
        </w:rPr>
        <w:t>项目负责人应当按照规定编制项目资金年度决算。项目依托学校应将繁荣计划专项资金收支情况纳入单位年度决算统一编报。</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第二十三条</w:t>
      </w:r>
      <w:r>
        <w:rPr>
          <w:rStyle w:val="apple-converted-space"/>
          <w:rFonts w:hint="eastAsia"/>
          <w:color w:val="000000"/>
          <w:sz w:val="32"/>
          <w:szCs w:val="32"/>
        </w:rPr>
        <w:t> </w:t>
      </w:r>
      <w:r>
        <w:rPr>
          <w:rFonts w:ascii="仿宋_GB2312" w:eastAsia="仿宋_GB2312" w:hint="eastAsia"/>
          <w:color w:val="000000"/>
          <w:sz w:val="32"/>
          <w:szCs w:val="32"/>
        </w:rPr>
        <w:t>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第二十四条</w:t>
      </w:r>
      <w:r>
        <w:rPr>
          <w:rStyle w:val="apple-converted-space"/>
          <w:rFonts w:hint="eastAsia"/>
          <w:color w:val="000000"/>
          <w:sz w:val="32"/>
          <w:szCs w:val="32"/>
        </w:rPr>
        <w:t> </w:t>
      </w:r>
      <w:r>
        <w:rPr>
          <w:rFonts w:ascii="仿宋_GB2312" w:eastAsia="仿宋_GB2312" w:hint="eastAsia"/>
          <w:color w:val="000000"/>
          <w:sz w:val="32"/>
          <w:szCs w:val="32"/>
        </w:rPr>
        <w:t>对于研究项目资金,项目在研期间，年度结转资金可以在下一年度继续使用。项目完成目标任务并通过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按照财政部关于结转结余资金管理有关规定执行。</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第二十五条</w:t>
      </w:r>
      <w:r>
        <w:rPr>
          <w:rStyle w:val="apple-converted-space"/>
          <w:rFonts w:hint="eastAsia"/>
          <w:color w:val="000000"/>
          <w:sz w:val="32"/>
          <w:szCs w:val="32"/>
        </w:rPr>
        <w:t> </w:t>
      </w:r>
      <w:r>
        <w:rPr>
          <w:rFonts w:ascii="仿宋_GB2312" w:eastAsia="仿宋_GB2312" w:hint="eastAsia"/>
          <w:color w:val="000000"/>
          <w:sz w:val="32"/>
          <w:szCs w:val="32"/>
        </w:rPr>
        <w:t>项目因故终止或被撤销，依托学校应当及时清理账目与资产，编制财务决算及资产清单，审核汇总后报送教育部。已拨资金或其剩余部分按原渠道退回教育部。</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第二十六条</w:t>
      </w:r>
      <w:r>
        <w:rPr>
          <w:rStyle w:val="apple-converted-space"/>
          <w:rFonts w:hint="eastAsia"/>
          <w:color w:val="000000"/>
          <w:sz w:val="32"/>
          <w:szCs w:val="32"/>
        </w:rPr>
        <w:t> </w:t>
      </w:r>
      <w:r>
        <w:rPr>
          <w:rFonts w:ascii="仿宋_GB2312" w:eastAsia="仿宋_GB2312" w:hint="eastAsia"/>
          <w:color w:val="000000"/>
          <w:sz w:val="32"/>
          <w:szCs w:val="32"/>
        </w:rPr>
        <w:t>凡使用繁荣计划专项资金形成的固定资产、无形资产等均属国有资产，应当按照国有资产管理的有关规定执行。</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lastRenderedPageBreak/>
        <w:t>第五章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监督检查与绩效管理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第二十七条</w:t>
      </w:r>
      <w:r>
        <w:rPr>
          <w:rStyle w:val="apple-converted-space"/>
          <w:rFonts w:hint="eastAsia"/>
          <w:color w:val="000000"/>
          <w:sz w:val="32"/>
          <w:szCs w:val="32"/>
        </w:rPr>
        <w:t> </w:t>
      </w:r>
      <w:r>
        <w:rPr>
          <w:rFonts w:ascii="仿宋_GB2312" w:eastAsia="仿宋_GB2312" w:hint="eastAsia"/>
          <w:color w:val="000000"/>
          <w:sz w:val="32"/>
          <w:szCs w:val="32"/>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第二十八条</w:t>
      </w:r>
      <w:r>
        <w:rPr>
          <w:rStyle w:val="apple-converted-space"/>
          <w:rFonts w:hint="eastAsia"/>
          <w:color w:val="000000"/>
          <w:sz w:val="32"/>
          <w:szCs w:val="32"/>
        </w:rPr>
        <w:t> </w:t>
      </w:r>
      <w:r>
        <w:rPr>
          <w:rFonts w:ascii="仿宋_GB2312" w:eastAsia="仿宋_GB2312" w:hint="eastAsia"/>
          <w:color w:val="000000"/>
          <w:sz w:val="32"/>
          <w:szCs w:val="32"/>
        </w:rPr>
        <w:t>项目依托学校应当制定内部管理办法，明确审批程序和管理要求，落实项目预算调剂、间接费用统筹使用、劳务费分配管理、结转结余资金使用等自主权。</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项目依托学校应当完善内部风险防控机制，加强预算审核把关，规范财务支出行为，强化资金使用绩效评价，保障资金使用安全规范有效。</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项目依托学校应当实行内部公开制度，主动公开项目预算、预算调剂、决算、外拨资金、劳务费发放、间接费用、结余资金使用和研究成果等情况。</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仿宋_GB2312" w:eastAsia="仿宋_GB2312" w:hint="eastAsia"/>
          <w:color w:val="000000"/>
          <w:sz w:val="32"/>
          <w:szCs w:val="32"/>
        </w:rPr>
        <w:t>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lastRenderedPageBreak/>
        <w:t>第二十九条</w:t>
      </w:r>
      <w:r>
        <w:rPr>
          <w:rStyle w:val="apple-converted-space"/>
          <w:rFonts w:hint="eastAsia"/>
          <w:color w:val="000000"/>
          <w:sz w:val="32"/>
          <w:szCs w:val="32"/>
        </w:rPr>
        <w:t> </w:t>
      </w:r>
      <w:r>
        <w:rPr>
          <w:rFonts w:ascii="仿宋_GB2312" w:eastAsia="仿宋_GB2312" w:hint="eastAsia"/>
          <w:color w:val="000000"/>
          <w:sz w:val="32"/>
          <w:szCs w:val="32"/>
        </w:rPr>
        <w:t>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第三十条</w:t>
      </w:r>
      <w:r>
        <w:rPr>
          <w:rStyle w:val="apple-converted-space"/>
          <w:rFonts w:hint="eastAsia"/>
          <w:color w:val="000000"/>
          <w:sz w:val="32"/>
          <w:szCs w:val="32"/>
        </w:rPr>
        <w:t> </w:t>
      </w:r>
      <w:r>
        <w:rPr>
          <w:rFonts w:ascii="仿宋_GB2312" w:eastAsia="仿宋_GB2312" w:hint="eastAsia"/>
          <w:color w:val="000000"/>
          <w:sz w:val="32"/>
          <w:szCs w:val="32"/>
        </w:rPr>
        <w:t>违反本办法规定的，依照《中华人民共和国预算法》、《财政违法行为处罚处分条例》等国家有关法律制度规定处理。</w:t>
      </w:r>
    </w:p>
    <w:p w:rsidR="0090716E" w:rsidRDefault="0090716E" w:rsidP="0090716E">
      <w:pPr>
        <w:pStyle w:val="a3"/>
        <w:spacing w:before="0" w:beforeAutospacing="0" w:after="0" w:afterAutospacing="0" w:line="600" w:lineRule="atLeast"/>
        <w:jc w:val="center"/>
        <w:rPr>
          <w:rFonts w:hint="eastAsia"/>
          <w:color w:val="000000"/>
          <w:sz w:val="18"/>
          <w:szCs w:val="18"/>
        </w:rPr>
      </w:pPr>
      <w:r>
        <w:rPr>
          <w:rFonts w:ascii="黑体" w:eastAsia="黑体" w:hAnsi="黑体" w:hint="eastAsia"/>
          <w:color w:val="000000"/>
          <w:sz w:val="32"/>
          <w:szCs w:val="32"/>
        </w:rPr>
        <w:t>第六章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附</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则</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第三十一条</w:t>
      </w:r>
      <w:r>
        <w:rPr>
          <w:rStyle w:val="apple-converted-space"/>
          <w:rFonts w:hint="eastAsia"/>
          <w:color w:val="000000"/>
          <w:sz w:val="32"/>
          <w:szCs w:val="32"/>
        </w:rPr>
        <w:t> </w:t>
      </w:r>
      <w:r>
        <w:rPr>
          <w:rFonts w:ascii="仿宋_GB2312" w:eastAsia="仿宋_GB2312" w:hint="eastAsia"/>
          <w:color w:val="000000"/>
          <w:sz w:val="32"/>
          <w:szCs w:val="32"/>
        </w:rPr>
        <w:t>本办法由财政部、教育部负责解释。</w:t>
      </w:r>
    </w:p>
    <w:p w:rsidR="0090716E" w:rsidRDefault="0090716E" w:rsidP="0090716E">
      <w:pPr>
        <w:pStyle w:val="a3"/>
        <w:spacing w:before="0" w:beforeAutospacing="0" w:after="0" w:afterAutospacing="0" w:line="600" w:lineRule="atLeast"/>
        <w:ind w:firstLine="645"/>
        <w:rPr>
          <w:rFonts w:hint="eastAsia"/>
          <w:color w:val="000000"/>
          <w:sz w:val="18"/>
          <w:szCs w:val="18"/>
        </w:rPr>
      </w:pPr>
      <w:r>
        <w:rPr>
          <w:rFonts w:ascii="黑体" w:eastAsia="黑体" w:hAnsi="黑体" w:hint="eastAsia"/>
          <w:color w:val="000000"/>
          <w:sz w:val="32"/>
          <w:szCs w:val="32"/>
        </w:rPr>
        <w:t>第三十二条</w:t>
      </w:r>
      <w:r>
        <w:rPr>
          <w:rStyle w:val="apple-converted-space"/>
          <w:rFonts w:hint="eastAsia"/>
          <w:color w:val="000000"/>
          <w:sz w:val="32"/>
          <w:szCs w:val="32"/>
        </w:rPr>
        <w:t> </w:t>
      </w:r>
      <w:r>
        <w:rPr>
          <w:rFonts w:ascii="仿宋_GB2312" w:eastAsia="仿宋_GB2312" w:hint="eastAsia"/>
          <w:color w:val="000000"/>
          <w:sz w:val="32"/>
          <w:szCs w:val="32"/>
        </w:rPr>
        <w:t>本办法自2016年12月1日起施行。</w:t>
      </w:r>
    </w:p>
    <w:p w:rsidR="008C6DD2" w:rsidRDefault="008C6DD2" w:rsidP="0090716E"/>
    <w:sectPr w:rsidR="008C6D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D2" w:rsidRDefault="008C6DD2" w:rsidP="00685C5D">
      <w:r>
        <w:separator/>
      </w:r>
    </w:p>
  </w:endnote>
  <w:endnote w:type="continuationSeparator" w:id="1">
    <w:p w:rsidR="008C6DD2" w:rsidRDefault="008C6DD2" w:rsidP="00685C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4120"/>
      <w:docPartObj>
        <w:docPartGallery w:val="Page Numbers (Bottom of Page)"/>
        <w:docPartUnique/>
      </w:docPartObj>
    </w:sdtPr>
    <w:sdtContent>
      <w:p w:rsidR="00685C5D" w:rsidRDefault="00685C5D">
        <w:pPr>
          <w:pStyle w:val="a5"/>
          <w:jc w:val="center"/>
        </w:pPr>
        <w:fldSimple w:instr=" PAGE   \* MERGEFORMAT ">
          <w:r w:rsidRPr="00685C5D">
            <w:rPr>
              <w:noProof/>
              <w:lang w:val="zh-CN"/>
            </w:rPr>
            <w:t>1</w:t>
          </w:r>
        </w:fldSimple>
      </w:p>
    </w:sdtContent>
  </w:sdt>
  <w:p w:rsidR="00685C5D" w:rsidRDefault="00685C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D2" w:rsidRDefault="008C6DD2" w:rsidP="00685C5D">
      <w:r>
        <w:separator/>
      </w:r>
    </w:p>
  </w:footnote>
  <w:footnote w:type="continuationSeparator" w:id="1">
    <w:p w:rsidR="008C6DD2" w:rsidRDefault="008C6DD2" w:rsidP="00685C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16E"/>
    <w:rsid w:val="00685C5D"/>
    <w:rsid w:val="008C6DD2"/>
    <w:rsid w:val="009071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16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0716E"/>
  </w:style>
  <w:style w:type="paragraph" w:styleId="a4">
    <w:name w:val="header"/>
    <w:basedOn w:val="a"/>
    <w:link w:val="Char"/>
    <w:uiPriority w:val="99"/>
    <w:semiHidden/>
    <w:unhideWhenUsed/>
    <w:rsid w:val="00685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85C5D"/>
    <w:rPr>
      <w:sz w:val="18"/>
      <w:szCs w:val="18"/>
    </w:rPr>
  </w:style>
  <w:style w:type="paragraph" w:styleId="a5">
    <w:name w:val="footer"/>
    <w:basedOn w:val="a"/>
    <w:link w:val="Char0"/>
    <w:uiPriority w:val="99"/>
    <w:unhideWhenUsed/>
    <w:rsid w:val="00685C5D"/>
    <w:pPr>
      <w:tabs>
        <w:tab w:val="center" w:pos="4153"/>
        <w:tab w:val="right" w:pos="8306"/>
      </w:tabs>
      <w:snapToGrid w:val="0"/>
      <w:jc w:val="left"/>
    </w:pPr>
    <w:rPr>
      <w:sz w:val="18"/>
      <w:szCs w:val="18"/>
    </w:rPr>
  </w:style>
  <w:style w:type="character" w:customStyle="1" w:styleId="Char0">
    <w:name w:val="页脚 Char"/>
    <w:basedOn w:val="a0"/>
    <w:link w:val="a5"/>
    <w:uiPriority w:val="99"/>
    <w:rsid w:val="00685C5D"/>
    <w:rPr>
      <w:sz w:val="18"/>
      <w:szCs w:val="18"/>
    </w:rPr>
  </w:style>
</w:styles>
</file>

<file path=word/webSettings.xml><?xml version="1.0" encoding="utf-8"?>
<w:webSettings xmlns:r="http://schemas.openxmlformats.org/officeDocument/2006/relationships" xmlns:w="http://schemas.openxmlformats.org/wordprocessingml/2006/main">
  <w:divs>
    <w:div w:id="3277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837</Words>
  <Characters>4773</Characters>
  <Application>Microsoft Office Word</Application>
  <DocSecurity>0</DocSecurity>
  <Lines>39</Lines>
  <Paragraphs>11</Paragraphs>
  <ScaleCrop>false</ScaleCrop>
  <Company>bzmc</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dc:creator>
  <cp:keywords/>
  <dc:description/>
  <cp:lastModifiedBy>科研处</cp:lastModifiedBy>
  <cp:revision>3</cp:revision>
  <dcterms:created xsi:type="dcterms:W3CDTF">2018-01-25T03:13:00Z</dcterms:created>
  <dcterms:modified xsi:type="dcterms:W3CDTF">2018-01-25T03:13:00Z</dcterms:modified>
</cp:coreProperties>
</file>