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29" w:rsidRDefault="004C0429" w:rsidP="004C0429">
      <w:pPr>
        <w:autoSpaceDN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4C0429" w:rsidRDefault="004C0429" w:rsidP="004C0429">
      <w:pPr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4C0429" w:rsidRDefault="004C0429" w:rsidP="004C0429">
      <w:pPr>
        <w:autoSpaceDN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OLE_LINK5"/>
      <w:bookmarkStart w:id="1" w:name="OLE_LINK6"/>
      <w:bookmarkStart w:id="2" w:name="_GoBack"/>
      <w:r>
        <w:rPr>
          <w:rFonts w:ascii="方正小标宋简体" w:eastAsia="方正小标宋简体" w:hint="eastAsia"/>
          <w:sz w:val="44"/>
          <w:szCs w:val="44"/>
        </w:rPr>
        <w:t>课题申报指南</w:t>
      </w:r>
    </w:p>
    <w:bookmarkEnd w:id="0"/>
    <w:bookmarkEnd w:id="1"/>
    <w:bookmarkEnd w:id="2"/>
    <w:p w:rsidR="004C0429" w:rsidRDefault="004C0429" w:rsidP="004C0429">
      <w:pPr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4C0429" w:rsidRDefault="004C0429" w:rsidP="004C0429">
      <w:pPr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专项课题申报者请参考各专项的选题要求和研究方向，结合本人（项目组）研究专长和已有的研究基础进行申报。</w:t>
      </w:r>
    </w:p>
    <w:p w:rsidR="004C0429" w:rsidRDefault="004C0429" w:rsidP="004C0429">
      <w:pPr>
        <w:widowControl/>
        <w:autoSpaceDN/>
        <w:spacing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一、烟台市理论创新实践研究专项</w:t>
      </w:r>
    </w:p>
    <w:p w:rsidR="004C0429" w:rsidRDefault="004C0429" w:rsidP="004C0429">
      <w:pPr>
        <w:widowControl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构建具有烟台特色的理论创新体系，为城市发展战略制定提供前瞻性理论依据，推动跨学科研究融合，培养一批理论创新人才。聚焦新时代党建理论创新与实践路径、基层社会治理现代化、海洋经济高质量发展理论支撑等方向，组织开展党建引领共同富裕的烟台模式、社区网格</w:t>
      </w:r>
      <w:proofErr w:type="gramStart"/>
      <w:r>
        <w:rPr>
          <w:rFonts w:ascii="仿宋_GB2312" w:eastAsia="仿宋_GB2312" w:hint="eastAsia"/>
          <w:sz w:val="32"/>
          <w:szCs w:val="32"/>
        </w:rPr>
        <w:t>化治理</w:t>
      </w:r>
      <w:proofErr w:type="gramEnd"/>
      <w:r>
        <w:rPr>
          <w:rFonts w:ascii="仿宋_GB2312" w:eastAsia="仿宋_GB2312" w:hint="eastAsia"/>
          <w:sz w:val="32"/>
          <w:szCs w:val="32"/>
        </w:rPr>
        <w:t>效能提升、烟台海洋牧场全产业链升级、烟台红色资源赋能乡村振兴的路径研究、数字经济背景下烟台制造业转型升级等研究。</w:t>
      </w:r>
    </w:p>
    <w:p w:rsidR="004C0429" w:rsidRDefault="004C0429" w:rsidP="004C0429">
      <w:pPr>
        <w:widowControl/>
        <w:autoSpaceDN/>
        <w:spacing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二、烟台市海防文化研究专项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系统梳理烟台海防文化脉络，挖掘海防文化价值，提升公众海防意识，促进海防文化与城市旅游、教育等产业融合发展。聚焦弘扬海防文化，建设海洋强国方向，组织开展烟台海防史、烟台重要海防将领（人物）、烟台海防重要历史事件、烟台海防文献、烟台海防文化资源、烟台海防文化内涵特征与当代价值、烟台海防文化的历史地位、烟台海防遗存保护与旅游开发等研究。</w:t>
      </w:r>
    </w:p>
    <w:p w:rsidR="004C0429" w:rsidRDefault="004C0429" w:rsidP="004C0429">
      <w:pPr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三、</w:t>
      </w:r>
      <w:r>
        <w:rPr>
          <w:rFonts w:ascii="黑体" w:eastAsia="黑体" w:hAnsi="黑体" w:hint="eastAsia"/>
          <w:sz w:val="32"/>
          <w:szCs w:val="32"/>
        </w:rPr>
        <w:t>烟台文化产业发展研究</w:t>
      </w:r>
    </w:p>
    <w:p w:rsidR="004C0429" w:rsidRDefault="004C0429" w:rsidP="004C0429">
      <w:pPr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明确烟台文化产业发展现状与优势，制定针对性发展策略，培育文化产业新业态，增强烟台文化产业的市场竞争力与区域影响力。聚焦烟台文化产业“十五五”发展需求，摸清烟台市现有规模以上文化企业情况，梳理主导产业状况，分析发展前景。</w:t>
      </w:r>
    </w:p>
    <w:p w:rsidR="004C0429" w:rsidRDefault="004C0429" w:rsidP="004C0429">
      <w:pPr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四、美育理论研究专项</w:t>
      </w:r>
    </w:p>
    <w:p w:rsidR="004C0429" w:rsidRDefault="004C0429" w:rsidP="004C0429">
      <w:pPr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1.基于烟台城市建设构建系统的美育理论体系研究</w:t>
      </w:r>
    </w:p>
    <w:p w:rsidR="004C0429" w:rsidRDefault="004C0429" w:rsidP="004C0429">
      <w:pPr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2.美育与精神文明建设研究</w:t>
      </w:r>
    </w:p>
    <w:p w:rsidR="004C0429" w:rsidRDefault="004C0429" w:rsidP="004C0429">
      <w:pPr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3.美育与现代生活的关系研究</w:t>
      </w:r>
    </w:p>
    <w:p w:rsidR="004C0429" w:rsidRDefault="004C0429" w:rsidP="004C0429">
      <w:pPr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4.美育教育模式研究</w:t>
      </w:r>
    </w:p>
    <w:p w:rsidR="004C0429" w:rsidRDefault="004C0429" w:rsidP="004C0429">
      <w:pPr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5.国内外美育发展比较研究</w:t>
      </w:r>
    </w:p>
    <w:p w:rsidR="004C0429" w:rsidRDefault="004C0429" w:rsidP="004C0429">
      <w:pPr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6.美育与烟台市文化产业发展研究</w:t>
      </w:r>
    </w:p>
    <w:p w:rsidR="004C0429" w:rsidRDefault="004C0429" w:rsidP="004C0429">
      <w:pPr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7.美育与乡村振兴的互动关系研究</w:t>
      </w:r>
    </w:p>
    <w:p w:rsidR="004C0429" w:rsidRDefault="004C0429" w:rsidP="004C0429">
      <w:pPr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8.美育对青少年心理疗愈研究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9.新时代美育实践评价体系研究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10.中华优秀传统文化美育元素和美育资源的“两创”研究</w:t>
      </w:r>
    </w:p>
    <w:p w:rsidR="004C0429" w:rsidRDefault="004C0429" w:rsidP="004C0429">
      <w:pPr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11.数字时代美育发展创新研究</w:t>
      </w:r>
    </w:p>
    <w:p w:rsidR="004C0429" w:rsidRDefault="004C0429" w:rsidP="004C0429">
      <w:pPr>
        <w:pStyle w:val="a4"/>
        <w:autoSpaceDN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12.美育保障机制研究</w:t>
      </w:r>
    </w:p>
    <w:p w:rsidR="004C0429" w:rsidRDefault="004C0429" w:rsidP="004C0429">
      <w:pPr>
        <w:autoSpaceDN/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五、国防教育研究专项</w:t>
      </w:r>
    </w:p>
    <w:p w:rsidR="004C0429" w:rsidRDefault="004C0429" w:rsidP="004C0429">
      <w:pPr>
        <w:pStyle w:val="a6"/>
        <w:widowControl/>
        <w:autoSpaceDN/>
        <w:spacing w:after="0" w:afterAutospacing="0" w:line="560" w:lineRule="exact"/>
        <w:ind w:firstLineChars="200" w:firstLine="640"/>
        <w:jc w:val="both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1.新时代全民国防教育宣传途径与方法探析</w:t>
      </w:r>
    </w:p>
    <w:p w:rsidR="004C0429" w:rsidRDefault="004C0429" w:rsidP="004C0429">
      <w:pPr>
        <w:pStyle w:val="a6"/>
        <w:widowControl/>
        <w:autoSpaceDN/>
        <w:spacing w:after="0" w:afterAutospacing="0" w:line="560" w:lineRule="exact"/>
        <w:ind w:firstLineChars="200" w:firstLine="640"/>
        <w:jc w:val="both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2.中小学国防教育教学改革创新研究</w:t>
      </w:r>
    </w:p>
    <w:p w:rsidR="004C0429" w:rsidRDefault="004C0429" w:rsidP="004C0429">
      <w:pPr>
        <w:pStyle w:val="a6"/>
        <w:widowControl/>
        <w:autoSpaceDN/>
        <w:spacing w:after="0" w:afterAutospacing="0" w:line="560" w:lineRule="exact"/>
        <w:ind w:firstLineChars="200" w:firstLine="640"/>
        <w:jc w:val="both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3.高校思想政治教育融入军事理论教学途径研究</w:t>
      </w:r>
    </w:p>
    <w:p w:rsidR="004C0429" w:rsidRDefault="004C0429" w:rsidP="004C0429">
      <w:pPr>
        <w:pStyle w:val="a6"/>
        <w:widowControl/>
        <w:autoSpaceDN/>
        <w:spacing w:after="0" w:afterAutospacing="0" w:line="560" w:lineRule="exact"/>
        <w:ind w:firstLineChars="200" w:firstLine="640"/>
        <w:jc w:val="both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4.国防教育与中华优秀传统文化传承关系研究</w:t>
      </w:r>
    </w:p>
    <w:p w:rsidR="004C0429" w:rsidRDefault="004C0429" w:rsidP="004C0429">
      <w:pPr>
        <w:pStyle w:val="a6"/>
        <w:autoSpaceDN/>
        <w:spacing w:after="0" w:afterAutospacing="0" w:line="560" w:lineRule="exact"/>
        <w:ind w:firstLineChars="200" w:firstLine="640"/>
        <w:jc w:val="both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5.国防教育与民族精神培育的研究</w:t>
      </w:r>
    </w:p>
    <w:p w:rsidR="004C0429" w:rsidRDefault="004C0429" w:rsidP="004C0429">
      <w:pPr>
        <w:pStyle w:val="a6"/>
        <w:autoSpaceDN/>
        <w:spacing w:after="0" w:afterAutospacing="0" w:line="560" w:lineRule="exact"/>
        <w:ind w:firstLineChars="200" w:firstLine="640"/>
        <w:jc w:val="both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6.新媒体融入学校国防教育现状调查研究</w:t>
      </w:r>
    </w:p>
    <w:p w:rsidR="004C0429" w:rsidRDefault="004C0429" w:rsidP="004C0429">
      <w:pPr>
        <w:pStyle w:val="a6"/>
        <w:autoSpaceDN/>
        <w:spacing w:after="0" w:afterAutospacing="0" w:line="560" w:lineRule="exact"/>
        <w:ind w:firstLineChars="200" w:firstLine="640"/>
        <w:jc w:val="both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7.国防体育融入学校体育教学研究</w:t>
      </w:r>
    </w:p>
    <w:p w:rsidR="004C0429" w:rsidRDefault="004C0429" w:rsidP="004C0429">
      <w:pPr>
        <w:pStyle w:val="a6"/>
        <w:autoSpaceDN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8.中小学国防体育项目推广普及路径研究</w:t>
      </w:r>
    </w:p>
    <w:p w:rsidR="004C0429" w:rsidRDefault="004C0429" w:rsidP="004C0429">
      <w:pPr>
        <w:pStyle w:val="a6"/>
        <w:kinsoku w:val="0"/>
        <w:overflowPunct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9.总体国家安全观视域下青少年国防教育实践研究</w:t>
      </w:r>
    </w:p>
    <w:p w:rsidR="004C0429" w:rsidRDefault="004C0429" w:rsidP="004C0429">
      <w:pPr>
        <w:pStyle w:val="a7"/>
        <w:kinsoku w:val="0"/>
        <w:overflowPunct w:val="0"/>
        <w:spacing w:before="0" w:after="0" w:afterAutospacing="0" w:line="560" w:lineRule="exact"/>
        <w:ind w:firstLineChars="200" w:firstLine="640"/>
        <w:jc w:val="both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10.新时代全民国防教育路径研究</w:t>
      </w:r>
    </w:p>
    <w:p w:rsidR="004C0429" w:rsidRDefault="004C0429" w:rsidP="004C0429">
      <w:pPr>
        <w:pStyle w:val="a7"/>
        <w:kinsoku w:val="0"/>
        <w:overflowPunct w:val="0"/>
        <w:spacing w:before="0" w:after="0" w:afterAutospacing="0" w:line="560" w:lineRule="exact"/>
        <w:ind w:firstLineChars="200" w:firstLine="640"/>
        <w:jc w:val="both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六、习近平总书记关于做好新时代党的统一战线工作的重要思想研究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1.全过程人民民主视域下发挥中国新型政党制度作用研究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2.发挥枢纽型社会组织作用服务统一战线工作研究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3.城市社区民族工作高质量发展研究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4.烟台基督教中国化历史实践研究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5.促进年青一代民营</w:t>
      </w:r>
      <w:proofErr w:type="gramStart"/>
      <w:r>
        <w:rPr>
          <w:rFonts w:ascii="仿宋_GB2312" w:eastAsia="仿宋_GB2312" w:hint="eastAsia"/>
          <w:sz w:val="32"/>
          <w:szCs w:val="32"/>
        </w:rPr>
        <w:t>经济人士健康</w:t>
      </w:r>
      <w:proofErr w:type="gramEnd"/>
      <w:r>
        <w:rPr>
          <w:rFonts w:ascii="仿宋_GB2312" w:eastAsia="仿宋_GB2312" w:hint="eastAsia"/>
          <w:sz w:val="32"/>
          <w:szCs w:val="32"/>
        </w:rPr>
        <w:t>成长研究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七、工会工作理论与实践创新研究专项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ab/>
        <w:t>.关于深入学习贯彻党的二十届三中全会精神，深化工会改革和建设的研究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2.关于创新打造烟台“工人大思政课”，提升职工思想政治引领实效的研究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ab/>
        <w:t>.关于深化产业工人队伍建设改革，加快建设一流产业工人队伍的研究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ab/>
        <w:t>.关于构建劳动和技能竞赛体系，拓展建功立业行动路</w:t>
      </w:r>
      <w:r>
        <w:rPr>
          <w:rFonts w:ascii="仿宋_GB2312" w:eastAsia="仿宋_GB2312" w:hint="eastAsia"/>
          <w:sz w:val="32"/>
          <w:szCs w:val="32"/>
        </w:rPr>
        <w:lastRenderedPageBreak/>
        <w:t>径载体的研究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ab/>
        <w:t>.关于健全职工创新创效服务体系，助力发展新质生产力的研究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6.关于提升工匠学院体系建设的研究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7.关于充分发挥工会助力乡村振兴独特作用的调查研究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8.关于推行新时代“枫桥经验”工会实践的研究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9.关于深化工会工作法治化建设的研究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10.关于构建“12351+”工会服务职工机制的研究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ab/>
        <w:t>关于加强产业工会建设，更好发挥服务行业发展、服务职工群众作用的研究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12.关于优化职工心理健康服务的研究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>
        <w:rPr>
          <w:rFonts w:ascii="仿宋_GB2312" w:eastAsia="仿宋_GB2312" w:hint="eastAsia"/>
          <w:sz w:val="32"/>
          <w:szCs w:val="32"/>
        </w:rPr>
        <w:tab/>
        <w:t>关于坚持“两性两化”运作方向，有效发挥工人文化宫服务功能的研究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>
        <w:rPr>
          <w:rFonts w:ascii="仿宋_GB2312" w:eastAsia="仿宋_GB2312" w:hint="eastAsia"/>
          <w:sz w:val="32"/>
          <w:szCs w:val="32"/>
        </w:rPr>
        <w:tab/>
        <w:t>关于做好新就业形态劳动者权益维护工作的研究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15.关于深化新形势下集体协商工作的研究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16.关于加强企事业单位民主管理工作的研究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17.关于提升一线职工</w:t>
      </w:r>
      <w:proofErr w:type="gramStart"/>
      <w:r>
        <w:rPr>
          <w:rFonts w:ascii="仿宋_GB2312" w:eastAsia="仿宋_GB2312" w:hint="eastAsia"/>
          <w:sz w:val="32"/>
          <w:szCs w:val="32"/>
        </w:rPr>
        <w:t>疗</w:t>
      </w:r>
      <w:proofErr w:type="gramEnd"/>
      <w:r>
        <w:rPr>
          <w:rFonts w:ascii="仿宋_GB2312" w:eastAsia="仿宋_GB2312" w:hint="eastAsia"/>
          <w:sz w:val="32"/>
          <w:szCs w:val="32"/>
        </w:rPr>
        <w:t>休养工作效益的研究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ab/>
        <w:t>关于攻克“建会入会、建家建制”重难点问题的研究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19.关于</w:t>
      </w:r>
      <w:proofErr w:type="gramStart"/>
      <w:r>
        <w:rPr>
          <w:rFonts w:ascii="仿宋_GB2312" w:eastAsia="仿宋_GB2312" w:hint="eastAsia"/>
          <w:sz w:val="32"/>
          <w:szCs w:val="32"/>
        </w:rPr>
        <w:t>以数智化建设为工会</w:t>
      </w:r>
      <w:proofErr w:type="gramEnd"/>
      <w:r>
        <w:rPr>
          <w:rFonts w:ascii="仿宋_GB2312" w:eastAsia="仿宋_GB2312" w:hint="eastAsia"/>
          <w:sz w:val="32"/>
          <w:szCs w:val="32"/>
        </w:rPr>
        <w:t>工作赋能增效的研究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20.</w:t>
      </w:r>
      <w:r>
        <w:rPr>
          <w:rFonts w:ascii="仿宋_GB2312" w:eastAsia="仿宋_GB2312" w:hint="eastAsia"/>
          <w:sz w:val="32"/>
          <w:szCs w:val="32"/>
        </w:rPr>
        <w:tab/>
        <w:t>关于加强新时代工会系统党的建设，</w:t>
      </w:r>
      <w:proofErr w:type="gramStart"/>
      <w:r>
        <w:rPr>
          <w:rFonts w:ascii="仿宋_GB2312" w:eastAsia="仿宋_GB2312" w:hint="eastAsia"/>
          <w:sz w:val="32"/>
          <w:szCs w:val="32"/>
        </w:rPr>
        <w:t>引领保障</w:t>
      </w:r>
      <w:proofErr w:type="gramEnd"/>
      <w:r>
        <w:rPr>
          <w:rFonts w:ascii="仿宋_GB2312" w:eastAsia="仿宋_GB2312" w:hint="eastAsia"/>
          <w:sz w:val="32"/>
          <w:szCs w:val="32"/>
        </w:rPr>
        <w:t>工会工作高质量发展的研究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21.关于加强工会干部队伍建设的调查研究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ab/>
        <w:t>.关于构建经审监督体系，提升工会经审工作效能的</w:t>
      </w:r>
      <w:r>
        <w:rPr>
          <w:rFonts w:ascii="仿宋_GB2312" w:eastAsia="仿宋_GB2312" w:hint="eastAsia"/>
          <w:sz w:val="32"/>
          <w:szCs w:val="32"/>
        </w:rPr>
        <w:lastRenderedPageBreak/>
        <w:t>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ab/>
        <w:t>.关于建立智能财务体系，推进财务管理方式创新、流程再造的研究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24.关于深化职工子女托管托</w:t>
      </w:r>
      <w:proofErr w:type="gramStart"/>
      <w:r>
        <w:rPr>
          <w:rFonts w:ascii="仿宋_GB2312" w:eastAsia="仿宋_GB2312" w:hint="eastAsia"/>
          <w:sz w:val="32"/>
          <w:szCs w:val="32"/>
        </w:rPr>
        <w:t>育服务</w:t>
      </w:r>
      <w:proofErr w:type="gramEnd"/>
      <w:r>
        <w:rPr>
          <w:rFonts w:ascii="仿宋_GB2312" w:eastAsia="仿宋_GB2312" w:hint="eastAsia"/>
          <w:sz w:val="32"/>
          <w:szCs w:val="32"/>
        </w:rPr>
        <w:t>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25.</w:t>
      </w:r>
      <w:r>
        <w:rPr>
          <w:rFonts w:ascii="仿宋_GB2312" w:eastAsia="仿宋_GB2312" w:hint="eastAsia"/>
          <w:sz w:val="32"/>
          <w:szCs w:val="32"/>
        </w:rPr>
        <w:tab/>
        <w:t>关于深化百年工运事业历史成绩和经验启示的研究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ab/>
        <w:t>.关于落实全总“新双15工程”，提升工会驿站服务质效的研究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kern w:val="2"/>
          <w:sz w:val="32"/>
          <w:szCs w:val="32"/>
        </w:rPr>
        <w:t>八、</w:t>
      </w:r>
      <w:r>
        <w:rPr>
          <w:rFonts w:ascii="黑体" w:eastAsia="黑体" w:hAnsi="黑体" w:hint="eastAsia"/>
          <w:sz w:val="32"/>
          <w:szCs w:val="32"/>
        </w:rPr>
        <w:t>民政政策研究专项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1.加强普惠性、基础性、兜底性民生保障研究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2.新时代完善民政政策制度体系、服务保障体系、监管管理体系、社会参与体系研究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3.深化民政领域“高效办成一件事”改革研究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4.“银发经济”发展的国际经验借鉴研究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5.低收入家庭失能照护问题研究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6.养老机构分类改革研究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7.社区慈善发展路径研究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8.强化殡葬</w:t>
      </w:r>
      <w:proofErr w:type="gramStart"/>
      <w:r>
        <w:rPr>
          <w:rFonts w:ascii="仿宋_GB2312" w:eastAsia="仿宋_GB2312" w:hint="eastAsia"/>
          <w:sz w:val="32"/>
          <w:szCs w:val="32"/>
        </w:rPr>
        <w:t>行业公益</w:t>
      </w:r>
      <w:proofErr w:type="gramEnd"/>
      <w:r>
        <w:rPr>
          <w:rFonts w:ascii="仿宋_GB2312" w:eastAsia="仿宋_GB2312" w:hint="eastAsia"/>
          <w:sz w:val="32"/>
          <w:szCs w:val="32"/>
        </w:rPr>
        <w:t>属性研究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9.完善低收入人口动态监测指标体系研究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10.健全社会组织管理制度研究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11.红色地名文化保护利用研究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12.困境儿童心理健康关爱服务能力建设研究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九、山东烟台干部学院理论研究专项</w:t>
      </w:r>
    </w:p>
    <w:p w:rsidR="004C0429" w:rsidRDefault="004C0429" w:rsidP="004C0429">
      <w:pPr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1.胶东共产党人的政治定力和政治智慧研究</w:t>
      </w:r>
    </w:p>
    <w:p w:rsidR="004C0429" w:rsidRDefault="004C0429" w:rsidP="004C0429">
      <w:pPr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2.抗战胜利后运兵东北战略决策研究</w:t>
      </w:r>
    </w:p>
    <w:p w:rsidR="004C0429" w:rsidRDefault="004C0429" w:rsidP="004C0429">
      <w:pPr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3.近代以来胶东地区社会半殖民地半封建化研究</w:t>
      </w:r>
    </w:p>
    <w:p w:rsidR="004C0429" w:rsidRDefault="004C0429" w:rsidP="004C0429">
      <w:pPr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4.胶东抗日民主根据地政权建设研究</w:t>
      </w:r>
    </w:p>
    <w:p w:rsidR="004C0429" w:rsidRDefault="004C0429" w:rsidP="004C0429">
      <w:pPr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5.胶东保卫战研究</w:t>
      </w:r>
    </w:p>
    <w:p w:rsidR="004C0429" w:rsidRDefault="004C0429" w:rsidP="004C0429">
      <w:pPr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6.烟台国企改革的探索创新研究</w:t>
      </w:r>
    </w:p>
    <w:p w:rsidR="004C0429" w:rsidRDefault="004C0429" w:rsidP="004C0429">
      <w:pPr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7.以产业融合发展推进乡村全面振兴研究</w:t>
      </w:r>
    </w:p>
    <w:p w:rsidR="004C0429" w:rsidRDefault="004C0429" w:rsidP="004C0429">
      <w:pPr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8.高质量党建引领高质量发展的烟台实践研究</w:t>
      </w:r>
    </w:p>
    <w:p w:rsidR="004C0429" w:rsidRDefault="004C0429" w:rsidP="004C0429">
      <w:pPr>
        <w:autoSpaceDN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9.烟台市以陆海统筹助力区域协调发展研究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10.烟台改革开放历程、成就与经验研究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十、家庭法治教育理论研究专项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1.家庭法治教育的核心内涵与价值定位研究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2.家庭法治教育在预防青少年犯罪中的作用机制研究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3.新媒体背景下家庭法治教育传播策略研究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4.高职院校“家校社法”协同育人模式创新研究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5.齐鲁优秀传统文化融入家庭法治教育路径研究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6.高职院校家校法治教育矛盾化解机制研究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7.新媒体时代家庭法治教育的传播困境与数字化赋能策略研究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8.家庭法治教育中父母法律素养提升的社区支持体系研究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9.家庭教育促进法实施背景下家庭法治教育的责任与边界研究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10.“家校社”协同育人模式下法治教育融入研究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11.家校共育下青少年法治素养提升模式研究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12.人工智能辅助下的家庭法治教育效果评估体系研究</w:t>
      </w:r>
    </w:p>
    <w:p w:rsidR="004C0429" w:rsidRDefault="004C0429" w:rsidP="004C0429">
      <w:pPr>
        <w:pStyle w:val="a5"/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13.乡村振兴视域下农村家庭法治教育现状研究</w:t>
      </w:r>
    </w:p>
    <w:p w:rsidR="004C0429" w:rsidRDefault="004C0429" w:rsidP="004C0429">
      <w:pPr>
        <w:autoSpaceDN/>
        <w:spacing w:line="56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14.城市化进程中“新市民家庭”法治教育现状研究</w:t>
      </w:r>
    </w:p>
    <w:p w:rsidR="004C0429" w:rsidRDefault="004C0429" w:rsidP="004C0429">
      <w:pPr>
        <w:spacing w:line="56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4C0429" w:rsidRDefault="004C0429" w:rsidP="004C0429">
      <w:pPr>
        <w:pStyle w:val="a0"/>
        <w:spacing w:line="56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4C0429" w:rsidRDefault="004C0429" w:rsidP="004C0429">
      <w:pPr>
        <w:spacing w:line="56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4C0429" w:rsidRDefault="004C0429" w:rsidP="004C0429">
      <w:pPr>
        <w:pStyle w:val="a0"/>
        <w:spacing w:line="56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4C0429" w:rsidRDefault="004C0429" w:rsidP="004C0429">
      <w:pPr>
        <w:spacing w:line="56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4C0429" w:rsidRDefault="004C0429" w:rsidP="004C0429">
      <w:pPr>
        <w:pStyle w:val="a0"/>
        <w:spacing w:line="56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4C0429" w:rsidRDefault="004C0429" w:rsidP="004C0429">
      <w:pPr>
        <w:spacing w:line="560" w:lineRule="exact"/>
        <w:rPr>
          <w:rFonts w:hint="eastAsia"/>
        </w:rPr>
      </w:pPr>
      <w:r>
        <w:rPr>
          <w:rFonts w:hint="eastAsia"/>
        </w:rPr>
        <w:t xml:space="preserve"> </w:t>
      </w:r>
    </w:p>
    <w:p w:rsidR="004C0429" w:rsidRDefault="004C0429" w:rsidP="004C0429">
      <w:pPr>
        <w:pStyle w:val="a0"/>
        <w:rPr>
          <w:rFonts w:hint="eastAsia"/>
        </w:rPr>
      </w:pPr>
      <w:r>
        <w:rPr>
          <w:rFonts w:hint="eastAsia"/>
        </w:rPr>
        <w:t xml:space="preserve"> </w:t>
      </w:r>
    </w:p>
    <w:p w:rsidR="004C0429" w:rsidRDefault="004C0429" w:rsidP="004C0429">
      <w:pPr>
        <w:rPr>
          <w:rFonts w:hint="eastAsia"/>
        </w:rPr>
      </w:pPr>
      <w:r>
        <w:rPr>
          <w:rFonts w:hint="eastAsia"/>
        </w:rPr>
        <w:t xml:space="preserve"> </w:t>
      </w:r>
    </w:p>
    <w:p w:rsidR="004C0429" w:rsidRDefault="004C0429" w:rsidP="004C0429">
      <w:pPr>
        <w:pStyle w:val="a0"/>
        <w:rPr>
          <w:rFonts w:hint="eastAsia"/>
        </w:rPr>
      </w:pPr>
      <w:r>
        <w:rPr>
          <w:rFonts w:hint="eastAsia"/>
        </w:rPr>
        <w:t xml:space="preserve"> </w:t>
      </w:r>
    </w:p>
    <w:p w:rsidR="004C0429" w:rsidRDefault="004C0429" w:rsidP="004C0429">
      <w:pPr>
        <w:rPr>
          <w:rFonts w:hint="eastAsia"/>
        </w:rPr>
      </w:pPr>
      <w:r>
        <w:rPr>
          <w:rFonts w:hint="eastAsia"/>
        </w:rPr>
        <w:t xml:space="preserve"> </w:t>
      </w:r>
    </w:p>
    <w:p w:rsidR="004C0429" w:rsidRDefault="004C0429" w:rsidP="004C0429">
      <w:pPr>
        <w:pStyle w:val="a0"/>
        <w:rPr>
          <w:rFonts w:hint="eastAsia"/>
        </w:rPr>
      </w:pPr>
      <w:r>
        <w:rPr>
          <w:rFonts w:hint="eastAsia"/>
        </w:rPr>
        <w:t xml:space="preserve"> </w:t>
      </w:r>
    </w:p>
    <w:p w:rsidR="004C0429" w:rsidRDefault="004C0429" w:rsidP="004C0429">
      <w:pPr>
        <w:rPr>
          <w:rFonts w:hint="eastAsia"/>
        </w:rPr>
      </w:pPr>
      <w:r>
        <w:rPr>
          <w:rFonts w:hint="eastAsia"/>
        </w:rPr>
        <w:t xml:space="preserve"> </w:t>
      </w:r>
    </w:p>
    <w:p w:rsidR="004C0429" w:rsidRDefault="004C0429" w:rsidP="004C0429">
      <w:pPr>
        <w:pStyle w:val="a0"/>
        <w:rPr>
          <w:rFonts w:hint="eastAsia"/>
        </w:rPr>
      </w:pPr>
      <w:r>
        <w:rPr>
          <w:rFonts w:hint="eastAsia"/>
        </w:rPr>
        <w:t xml:space="preserve"> </w:t>
      </w:r>
    </w:p>
    <w:p w:rsidR="004C0429" w:rsidRDefault="004C0429" w:rsidP="004C0429">
      <w:pPr>
        <w:rPr>
          <w:rFonts w:hint="eastAsia"/>
        </w:rPr>
      </w:pPr>
      <w:r>
        <w:rPr>
          <w:rFonts w:hint="eastAsia"/>
        </w:rPr>
        <w:t xml:space="preserve"> </w:t>
      </w:r>
    </w:p>
    <w:p w:rsidR="004C0429" w:rsidRDefault="004C0429" w:rsidP="004C0429">
      <w:pPr>
        <w:pStyle w:val="a0"/>
        <w:rPr>
          <w:rFonts w:hint="eastAsia"/>
        </w:rPr>
      </w:pPr>
      <w:r>
        <w:rPr>
          <w:rFonts w:hint="eastAsia"/>
        </w:rPr>
        <w:t xml:space="preserve"> </w:t>
      </w:r>
    </w:p>
    <w:p w:rsidR="004C0429" w:rsidRDefault="004C0429" w:rsidP="004C0429">
      <w:pPr>
        <w:rPr>
          <w:rFonts w:hint="eastAsia"/>
        </w:rPr>
      </w:pPr>
      <w:r>
        <w:rPr>
          <w:rFonts w:hint="eastAsia"/>
        </w:rPr>
        <w:t xml:space="preserve"> </w:t>
      </w:r>
    </w:p>
    <w:p w:rsidR="002C7303" w:rsidRPr="004C0429" w:rsidRDefault="004C0429" w:rsidP="004C0429">
      <w:pPr>
        <w:pStyle w:val="a0"/>
        <w:rPr>
          <w:rFonts w:hint="eastAsia"/>
        </w:rPr>
      </w:pPr>
      <w:r>
        <w:rPr>
          <w:rFonts w:hint="eastAsia"/>
        </w:rPr>
        <w:t xml:space="preserve"> </w:t>
      </w:r>
    </w:p>
    <w:sectPr w:rsidR="002C7303" w:rsidRPr="004C0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29"/>
    <w:rsid w:val="002C7303"/>
    <w:rsid w:val="004C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08EC4-69B1-4977-A0A0-3E73D6E8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C0429"/>
    <w:pPr>
      <w:widowControl w:val="0"/>
      <w:autoSpaceDE w:val="0"/>
      <w:autoSpaceDN w:val="0"/>
    </w:pPr>
    <w:rPr>
      <w:rFonts w:ascii="仿宋" w:eastAsia="仿宋" w:hAnsi="仿宋" w:cs="宋体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1"/>
    <w:uiPriority w:val="99"/>
    <w:unhideWhenUsed/>
    <w:rsid w:val="004C0429"/>
    <w:pPr>
      <w:spacing w:before="145" w:after="100" w:afterAutospacing="1"/>
    </w:pPr>
    <w:rPr>
      <w:sz w:val="34"/>
      <w:szCs w:val="34"/>
    </w:rPr>
  </w:style>
  <w:style w:type="character" w:customStyle="1" w:styleId="Char">
    <w:name w:val="正文文本 Char"/>
    <w:basedOn w:val="a1"/>
    <w:uiPriority w:val="99"/>
    <w:semiHidden/>
    <w:rsid w:val="004C0429"/>
    <w:rPr>
      <w:rFonts w:ascii="仿宋" w:eastAsia="仿宋" w:hAnsi="仿宋" w:cs="宋体"/>
      <w:kern w:val="0"/>
      <w:sz w:val="22"/>
    </w:rPr>
  </w:style>
  <w:style w:type="paragraph" w:customStyle="1" w:styleId="a4">
    <w:name w:val="正文格式"/>
    <w:basedOn w:val="a"/>
    <w:rsid w:val="004C0429"/>
    <w:pPr>
      <w:spacing w:line="360" w:lineRule="auto"/>
      <w:ind w:firstLineChars="200" w:firstLine="200"/>
    </w:pPr>
    <w:rPr>
      <w:sz w:val="30"/>
      <w:szCs w:val="30"/>
    </w:rPr>
  </w:style>
  <w:style w:type="paragraph" w:styleId="a5">
    <w:name w:val="footer"/>
    <w:basedOn w:val="a"/>
    <w:link w:val="Char0"/>
    <w:uiPriority w:val="99"/>
    <w:unhideWhenUsed/>
    <w:rsid w:val="004C042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C0429"/>
    <w:rPr>
      <w:rFonts w:ascii="仿宋" w:eastAsia="仿宋" w:hAnsi="仿宋" w:cs="宋体"/>
      <w:kern w:val="0"/>
      <w:sz w:val="18"/>
      <w:szCs w:val="18"/>
    </w:rPr>
  </w:style>
  <w:style w:type="paragraph" w:styleId="a6">
    <w:name w:val="Normal (Web)"/>
    <w:basedOn w:val="a"/>
    <w:uiPriority w:val="99"/>
    <w:unhideWhenUsed/>
    <w:rsid w:val="004C042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 First Indent"/>
    <w:basedOn w:val="a0"/>
    <w:link w:val="Char2"/>
    <w:uiPriority w:val="99"/>
    <w:unhideWhenUsed/>
    <w:rsid w:val="004C0429"/>
    <w:pPr>
      <w:ind w:firstLineChars="100" w:firstLine="420"/>
    </w:pPr>
  </w:style>
  <w:style w:type="character" w:customStyle="1" w:styleId="Char2">
    <w:name w:val="正文首行缩进 Char"/>
    <w:basedOn w:val="Char"/>
    <w:link w:val="a7"/>
    <w:uiPriority w:val="99"/>
    <w:rsid w:val="004C0429"/>
    <w:rPr>
      <w:rFonts w:ascii="仿宋" w:eastAsia="仿宋" w:hAnsi="仿宋" w:cs="宋体"/>
      <w:kern w:val="0"/>
      <w:sz w:val="34"/>
      <w:szCs w:val="34"/>
    </w:rPr>
  </w:style>
  <w:style w:type="character" w:customStyle="1" w:styleId="Char1">
    <w:name w:val="正文文本 Char1"/>
    <w:basedOn w:val="a1"/>
    <w:link w:val="a0"/>
    <w:uiPriority w:val="99"/>
    <w:rsid w:val="004C0429"/>
    <w:rPr>
      <w:rFonts w:ascii="仿宋" w:eastAsia="仿宋" w:hAnsi="仿宋" w:cs="宋体"/>
      <w:kern w:val="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403</Words>
  <Characters>2301</Characters>
  <Application>Microsoft Office Word</Application>
  <DocSecurity>0</DocSecurity>
  <Lines>19</Lines>
  <Paragraphs>5</Paragraphs>
  <ScaleCrop>false</ScaleCrop>
  <Company>微软中国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2025-04-08T06:54:00Z</dcterms:created>
  <dcterms:modified xsi:type="dcterms:W3CDTF">2025-04-08T06:56:00Z</dcterms:modified>
</cp:coreProperties>
</file>